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4A0" w:firstRow="1" w:lastRow="0" w:firstColumn="1" w:lastColumn="0" w:noHBand="0" w:noVBand="1"/>
      </w:tblPr>
      <w:tblGrid>
        <w:gridCol w:w="4536"/>
        <w:gridCol w:w="4536"/>
      </w:tblGrid>
      <w:tr w:rsidR="001C6F3E" w14:paraId="5958D913" w14:textId="77777777">
        <w:tc>
          <w:tcPr>
            <w:tcW w:w="4536" w:type="dxa"/>
          </w:tcPr>
          <w:p w14:paraId="52AD5D79" w14:textId="77777777" w:rsidR="001C6F3E" w:rsidRDefault="00926A20">
            <w:pPr>
              <w:jc w:val="center"/>
            </w:pPr>
            <w:r>
              <w:rPr>
                <w:noProof/>
              </w:rPr>
              <w:drawing>
                <wp:inline distT="0" distB="0" distL="0" distR="0" wp14:anchorId="5847A16D" wp14:editId="4E05E982">
                  <wp:extent cx="1847850" cy="1847850"/>
                  <wp:effectExtent l="0" t="0" r="0" b="0"/>
                  <wp:docPr id="1719436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436595" name="Picture 1719436595"/>
                          <pic:cNvPicPr/>
                        </pic:nvPicPr>
                        <pic:blipFill>
                          <a:blip r:embed="rId8"/>
                          <a:stretch>
                            <a:fillRect/>
                          </a:stretch>
                        </pic:blipFill>
                        <pic:spPr>
                          <a:xfrm>
                            <a:off x="0" y="0"/>
                            <a:ext cx="1897970" cy="1897970"/>
                          </a:xfrm>
                          <a:prstGeom prst="rect">
                            <a:avLst/>
                          </a:prstGeom>
                        </pic:spPr>
                      </pic:pic>
                    </a:graphicData>
                  </a:graphic>
                </wp:inline>
              </w:drawing>
            </w:r>
          </w:p>
        </w:tc>
        <w:tc>
          <w:tcPr>
            <w:tcW w:w="4536" w:type="dxa"/>
          </w:tcPr>
          <w:p w14:paraId="5FE7C40C" w14:textId="77777777" w:rsidR="00E17A77" w:rsidRDefault="0033624F">
            <w:r>
              <w:t>Enhance Integration Engineering Pty Ltd</w:t>
            </w:r>
            <w:r>
              <w:br/>
              <w:t>EIE</w:t>
            </w:r>
            <w:r>
              <w:br/>
              <w:t>Perth, Western Australia</w:t>
            </w:r>
          </w:p>
        </w:tc>
      </w:tr>
    </w:tbl>
    <w:p w14:paraId="408C8A24" w14:textId="77777777" w:rsidR="001C6F3E" w:rsidRDefault="001C6F3E"/>
    <w:p w14:paraId="6A9C518E" w14:textId="77777777" w:rsidR="001C6F3E" w:rsidRDefault="00C64947">
      <w:pPr>
        <w:pStyle w:val="EIETitle"/>
        <w:jc w:val="center"/>
      </w:pPr>
      <w:r>
        <w:t>Capability Statement – Enhance Integration Engineering Pty Ltd (EIE)</w:t>
      </w:r>
    </w:p>
    <w:p w14:paraId="09F1A38F" w14:textId="77777777" w:rsidR="001C6F3E" w:rsidRDefault="00771E1C">
      <w:pPr>
        <w:pStyle w:val="EIESubtitle"/>
        <w:jc w:val="center"/>
      </w:pPr>
      <w:r>
        <w:t>Capability Statement (Proposal Support Document)</w:t>
      </w:r>
    </w:p>
    <w:tbl>
      <w:tblPr>
        <w:tblStyle w:val="TableGrid"/>
        <w:tblW w:w="0" w:type="auto"/>
        <w:tblLayout w:type="fixed"/>
        <w:tblLook w:val="04A0" w:firstRow="1" w:lastRow="0" w:firstColumn="1" w:lastColumn="0" w:noHBand="0" w:noVBand="1"/>
      </w:tblPr>
      <w:tblGrid>
        <w:gridCol w:w="4536"/>
        <w:gridCol w:w="4536"/>
      </w:tblGrid>
      <w:tr w:rsidR="001C6F3E" w14:paraId="611184E8" w14:textId="77777777">
        <w:trPr>
          <w:cantSplit/>
        </w:trPr>
        <w:tc>
          <w:tcPr>
            <w:tcW w:w="4536" w:type="dxa"/>
          </w:tcPr>
          <w:p w14:paraId="161C58CD" w14:textId="77777777" w:rsidR="001C6F3E" w:rsidRDefault="00771E1C">
            <w:r>
              <w:rPr>
                <w:b/>
              </w:rPr>
              <w:t>Client</w:t>
            </w:r>
          </w:p>
        </w:tc>
        <w:tc>
          <w:tcPr>
            <w:tcW w:w="4536" w:type="dxa"/>
          </w:tcPr>
          <w:p w14:paraId="58877E9F" w14:textId="77777777" w:rsidR="00E17A77" w:rsidRDefault="0033624F">
            <w:r>
              <w:t>Prospective Clients (Proposal Use)</w:t>
            </w:r>
          </w:p>
        </w:tc>
      </w:tr>
      <w:tr w:rsidR="001C6F3E" w14:paraId="579F2C72" w14:textId="77777777">
        <w:trPr>
          <w:cantSplit/>
        </w:trPr>
        <w:tc>
          <w:tcPr>
            <w:tcW w:w="4536" w:type="dxa"/>
          </w:tcPr>
          <w:p w14:paraId="7824AEBD" w14:textId="77777777" w:rsidR="001C6F3E" w:rsidRDefault="00771E1C">
            <w:r>
              <w:rPr>
                <w:b/>
              </w:rPr>
              <w:t>Project</w:t>
            </w:r>
          </w:p>
        </w:tc>
        <w:tc>
          <w:tcPr>
            <w:tcW w:w="4536" w:type="dxa"/>
          </w:tcPr>
          <w:p w14:paraId="32508F88" w14:textId="77777777" w:rsidR="00E17A77" w:rsidRDefault="0033624F">
            <w:r>
              <w:t>Capability Statement</w:t>
            </w:r>
          </w:p>
        </w:tc>
      </w:tr>
      <w:tr w:rsidR="001C6F3E" w14:paraId="2B2FD5F7" w14:textId="77777777">
        <w:trPr>
          <w:cantSplit/>
        </w:trPr>
        <w:tc>
          <w:tcPr>
            <w:tcW w:w="4536" w:type="dxa"/>
          </w:tcPr>
          <w:p w14:paraId="1078FBAA" w14:textId="77777777" w:rsidR="001C6F3E" w:rsidRDefault="00771E1C">
            <w:r>
              <w:rPr>
                <w:b/>
              </w:rPr>
              <w:t>Site/Asset</w:t>
            </w:r>
          </w:p>
        </w:tc>
        <w:tc>
          <w:tcPr>
            <w:tcW w:w="4536" w:type="dxa"/>
          </w:tcPr>
          <w:p w14:paraId="0C5B71F7" w14:textId="77777777" w:rsidR="00E17A77" w:rsidRDefault="0033624F">
            <w:r>
              <w:t>N/A (Office-based services)</w:t>
            </w:r>
          </w:p>
        </w:tc>
      </w:tr>
      <w:tr w:rsidR="001C6F3E" w14:paraId="40BAB8B1" w14:textId="77777777">
        <w:trPr>
          <w:cantSplit/>
        </w:trPr>
        <w:tc>
          <w:tcPr>
            <w:tcW w:w="4536" w:type="dxa"/>
          </w:tcPr>
          <w:p w14:paraId="65303846" w14:textId="77777777" w:rsidR="001C6F3E" w:rsidRDefault="00771E1C">
            <w:r>
              <w:rPr>
                <w:b/>
              </w:rPr>
              <w:t>Document No.</w:t>
            </w:r>
          </w:p>
        </w:tc>
        <w:tc>
          <w:tcPr>
            <w:tcW w:w="4536" w:type="dxa"/>
          </w:tcPr>
          <w:p w14:paraId="05EBC394" w14:textId="77777777" w:rsidR="001C6F3E" w:rsidRDefault="00DB3235">
            <w:r>
              <w:t>D-26-003-01-Rep</w:t>
            </w:r>
          </w:p>
        </w:tc>
      </w:tr>
      <w:tr w:rsidR="001C6F3E" w14:paraId="50A72607" w14:textId="77777777">
        <w:trPr>
          <w:cantSplit/>
        </w:trPr>
        <w:tc>
          <w:tcPr>
            <w:tcW w:w="4536" w:type="dxa"/>
          </w:tcPr>
          <w:p w14:paraId="564C336B" w14:textId="77777777" w:rsidR="001C6F3E" w:rsidRDefault="00771E1C">
            <w:r>
              <w:rPr>
                <w:b/>
              </w:rPr>
              <w:t>Revision</w:t>
            </w:r>
          </w:p>
        </w:tc>
        <w:tc>
          <w:tcPr>
            <w:tcW w:w="4536" w:type="dxa"/>
          </w:tcPr>
          <w:p w14:paraId="445D76E6" w14:textId="77777777" w:rsidR="001C6F3E" w:rsidRDefault="00DB3235">
            <w:r>
              <w:t>A</w:t>
            </w:r>
          </w:p>
        </w:tc>
      </w:tr>
      <w:tr w:rsidR="001C6F3E" w14:paraId="3673E73A" w14:textId="77777777">
        <w:trPr>
          <w:cantSplit/>
        </w:trPr>
        <w:tc>
          <w:tcPr>
            <w:tcW w:w="4536" w:type="dxa"/>
          </w:tcPr>
          <w:p w14:paraId="376AB788" w14:textId="77777777" w:rsidR="001C6F3E" w:rsidRDefault="00771E1C">
            <w:r>
              <w:rPr>
                <w:b/>
              </w:rPr>
              <w:t>Issue Date</w:t>
            </w:r>
          </w:p>
        </w:tc>
        <w:tc>
          <w:tcPr>
            <w:tcW w:w="4536" w:type="dxa"/>
          </w:tcPr>
          <w:p w14:paraId="140F9FD8" w14:textId="77777777" w:rsidR="001C6F3E" w:rsidRDefault="00D121B1">
            <w:r>
              <w:t>25 February 2026</w:t>
            </w:r>
          </w:p>
        </w:tc>
      </w:tr>
    </w:tbl>
    <w:p w14:paraId="177A7A08" w14:textId="77777777" w:rsidR="001C6F3E" w:rsidRDefault="001C6F3E"/>
    <w:tbl>
      <w:tblPr>
        <w:tblStyle w:val="TableGrid"/>
        <w:tblW w:w="0" w:type="auto"/>
        <w:tblLayout w:type="fixed"/>
        <w:tblLook w:val="04A0" w:firstRow="1" w:lastRow="0" w:firstColumn="1" w:lastColumn="0" w:noHBand="0" w:noVBand="1"/>
      </w:tblPr>
      <w:tblGrid>
        <w:gridCol w:w="3024"/>
        <w:gridCol w:w="3024"/>
        <w:gridCol w:w="3024"/>
      </w:tblGrid>
      <w:tr w:rsidR="001C6F3E" w14:paraId="06ED9638" w14:textId="77777777">
        <w:trPr>
          <w:cantSplit/>
        </w:trPr>
        <w:tc>
          <w:tcPr>
            <w:tcW w:w="3024" w:type="dxa"/>
          </w:tcPr>
          <w:p w14:paraId="50A85634" w14:textId="77777777" w:rsidR="001C6F3E" w:rsidRDefault="001C6F3E"/>
        </w:tc>
        <w:tc>
          <w:tcPr>
            <w:tcW w:w="3024" w:type="dxa"/>
          </w:tcPr>
          <w:p w14:paraId="64FFE5CD" w14:textId="77777777" w:rsidR="001C6F3E" w:rsidRDefault="00771E1C">
            <w:r>
              <w:rPr>
                <w:b/>
              </w:rPr>
              <w:t>Name</w:t>
            </w:r>
          </w:p>
        </w:tc>
        <w:tc>
          <w:tcPr>
            <w:tcW w:w="3024" w:type="dxa"/>
          </w:tcPr>
          <w:p w14:paraId="481FCC4E" w14:textId="77777777" w:rsidR="001C6F3E" w:rsidRDefault="00771E1C">
            <w:r>
              <w:rPr>
                <w:b/>
              </w:rPr>
              <w:t>Signature / Date</w:t>
            </w:r>
          </w:p>
        </w:tc>
      </w:tr>
      <w:tr w:rsidR="001C6F3E" w14:paraId="7681E2D6" w14:textId="77777777">
        <w:trPr>
          <w:cantSplit/>
        </w:trPr>
        <w:tc>
          <w:tcPr>
            <w:tcW w:w="3024" w:type="dxa"/>
          </w:tcPr>
          <w:p w14:paraId="63A89990" w14:textId="77777777" w:rsidR="001C6F3E" w:rsidRDefault="00771E1C">
            <w:r>
              <w:rPr>
                <w:b/>
              </w:rPr>
              <w:t>Prepared by</w:t>
            </w:r>
          </w:p>
        </w:tc>
        <w:tc>
          <w:tcPr>
            <w:tcW w:w="3024" w:type="dxa"/>
          </w:tcPr>
          <w:p w14:paraId="5618247E" w14:textId="77777777" w:rsidR="001C6F3E" w:rsidRDefault="00D121B1">
            <w:r>
              <w:t>MAB</w:t>
            </w:r>
          </w:p>
        </w:tc>
        <w:tc>
          <w:tcPr>
            <w:tcW w:w="3024" w:type="dxa"/>
          </w:tcPr>
          <w:p w14:paraId="773CE749" w14:textId="77777777" w:rsidR="001C6F3E" w:rsidRDefault="001C6F3E"/>
        </w:tc>
      </w:tr>
      <w:tr w:rsidR="001C6F3E" w14:paraId="35F1F5F5" w14:textId="77777777">
        <w:trPr>
          <w:cantSplit/>
        </w:trPr>
        <w:tc>
          <w:tcPr>
            <w:tcW w:w="3024" w:type="dxa"/>
          </w:tcPr>
          <w:p w14:paraId="6FE82DBD" w14:textId="77777777" w:rsidR="001C6F3E" w:rsidRDefault="00771E1C">
            <w:r>
              <w:rPr>
                <w:b/>
              </w:rPr>
              <w:t>Reviewed by</w:t>
            </w:r>
          </w:p>
        </w:tc>
        <w:tc>
          <w:tcPr>
            <w:tcW w:w="3024" w:type="dxa"/>
          </w:tcPr>
          <w:p w14:paraId="392FB18F" w14:textId="77777777" w:rsidR="001C6F3E" w:rsidRDefault="00771E1C">
            <w:r>
              <w:t>[Name, Title]</w:t>
            </w:r>
          </w:p>
        </w:tc>
        <w:tc>
          <w:tcPr>
            <w:tcW w:w="3024" w:type="dxa"/>
          </w:tcPr>
          <w:p w14:paraId="75BB8533" w14:textId="77777777" w:rsidR="001C6F3E" w:rsidRDefault="001C6F3E"/>
        </w:tc>
      </w:tr>
      <w:tr w:rsidR="001C6F3E" w14:paraId="3C174FE1" w14:textId="77777777">
        <w:trPr>
          <w:cantSplit/>
        </w:trPr>
        <w:tc>
          <w:tcPr>
            <w:tcW w:w="3024" w:type="dxa"/>
          </w:tcPr>
          <w:p w14:paraId="1E75785F" w14:textId="77777777" w:rsidR="001C6F3E" w:rsidRDefault="00771E1C">
            <w:r>
              <w:rPr>
                <w:b/>
              </w:rPr>
              <w:t>Approved by</w:t>
            </w:r>
          </w:p>
        </w:tc>
        <w:tc>
          <w:tcPr>
            <w:tcW w:w="3024" w:type="dxa"/>
          </w:tcPr>
          <w:p w14:paraId="1B97891D" w14:textId="77777777" w:rsidR="001C6F3E" w:rsidRDefault="00771E1C">
            <w:r>
              <w:t>[Name, Title]</w:t>
            </w:r>
          </w:p>
        </w:tc>
        <w:tc>
          <w:tcPr>
            <w:tcW w:w="3024" w:type="dxa"/>
          </w:tcPr>
          <w:p w14:paraId="1F73E4A5" w14:textId="77777777" w:rsidR="001C6F3E" w:rsidRDefault="001C6F3E"/>
        </w:tc>
      </w:tr>
    </w:tbl>
    <w:p w14:paraId="65603E95" w14:textId="77777777" w:rsidR="001C6F3E" w:rsidRDefault="001C6F3E"/>
    <w:p w14:paraId="384DBDC9" w14:textId="77777777" w:rsidR="001C6F3E" w:rsidRDefault="00771E1C">
      <w:r>
        <w:rPr>
          <w:b/>
        </w:rPr>
        <w:t xml:space="preserve">CONFIDENTIALITY: </w:t>
      </w:r>
      <w:r>
        <w:t>This report has been prepared for the exclusive use of the Client. No reliance may be placed on this report by any other party without the prior written consent of Enhance Integration Engineering Pty Ltd.</w:t>
      </w:r>
    </w:p>
    <w:p w14:paraId="197691D4" w14:textId="77777777" w:rsidR="001C6F3E" w:rsidRDefault="00771E1C">
      <w:r>
        <w:rPr>
          <w:b/>
        </w:rPr>
        <w:t xml:space="preserve">DISCLAIMER: </w:t>
      </w:r>
      <w:r>
        <w:t>Information, data, and interpretations are based on the scope defined herein and on information available at the time of writing.</w:t>
      </w:r>
    </w:p>
    <w:p w14:paraId="74C52244" w14:textId="77777777" w:rsidR="001C6F3E" w:rsidRDefault="00771E1C">
      <w:r>
        <w:br w:type="page"/>
      </w:r>
    </w:p>
    <w:p w14:paraId="49C08A02" w14:textId="77777777" w:rsidR="001C6F3E" w:rsidRDefault="00771E1C">
      <w:pPr>
        <w:pStyle w:val="Heading1"/>
      </w:pPr>
      <w:bookmarkStart w:id="0" w:name="_Toc222905284"/>
      <w:r>
        <w:lastRenderedPageBreak/>
        <w:t>Document Control</w:t>
      </w:r>
      <w:bookmarkEnd w:id="0"/>
    </w:p>
    <w:p w14:paraId="7A7B3994" w14:textId="77777777" w:rsidR="001C6F3E" w:rsidRDefault="00771E1C">
      <w:r>
        <w:t>Complete this page for all issued revisions. Maintain this document as a controlled document in line with your quality management system.</w:t>
      </w:r>
    </w:p>
    <w:p w14:paraId="645CCE36" w14:textId="77777777" w:rsidR="001C6F3E" w:rsidRDefault="00771E1C">
      <w:pPr>
        <w:pStyle w:val="Heading2"/>
      </w:pPr>
      <w:bookmarkStart w:id="1" w:name="_Toc222905285"/>
      <w:r>
        <w:t>Document Details</w:t>
      </w:r>
      <w:bookmarkEnd w:id="1"/>
    </w:p>
    <w:tbl>
      <w:tblPr>
        <w:tblStyle w:val="TableGrid"/>
        <w:tblW w:w="9072" w:type="dxa"/>
        <w:tblLayout w:type="fixed"/>
        <w:tblLook w:val="04A0" w:firstRow="1" w:lastRow="0" w:firstColumn="1" w:lastColumn="0" w:noHBand="0" w:noVBand="1"/>
      </w:tblPr>
      <w:tblGrid>
        <w:gridCol w:w="2268"/>
        <w:gridCol w:w="2268"/>
        <w:gridCol w:w="2268"/>
        <w:gridCol w:w="2268"/>
      </w:tblGrid>
      <w:tr w:rsidR="001C6F3E" w14:paraId="71337E40" w14:textId="77777777" w:rsidTr="000B108D">
        <w:trPr>
          <w:cantSplit/>
        </w:trPr>
        <w:tc>
          <w:tcPr>
            <w:tcW w:w="2268" w:type="dxa"/>
          </w:tcPr>
          <w:p w14:paraId="575FD9BD" w14:textId="77777777" w:rsidR="001C6F3E" w:rsidRDefault="00771E1C">
            <w:r>
              <w:rPr>
                <w:b/>
              </w:rPr>
              <w:t>Client</w:t>
            </w:r>
          </w:p>
        </w:tc>
        <w:tc>
          <w:tcPr>
            <w:tcW w:w="2268" w:type="dxa"/>
          </w:tcPr>
          <w:p w14:paraId="133105A0" w14:textId="77777777" w:rsidR="00E17A77" w:rsidRDefault="0033624F">
            <w:r>
              <w:t>Prospective Clients (Proposal Use)</w:t>
            </w:r>
          </w:p>
        </w:tc>
        <w:tc>
          <w:tcPr>
            <w:tcW w:w="2268" w:type="dxa"/>
          </w:tcPr>
          <w:p w14:paraId="5AB1760F" w14:textId="77777777" w:rsidR="001C6F3E" w:rsidRDefault="00771E1C">
            <w:r>
              <w:rPr>
                <w:b/>
              </w:rPr>
              <w:t>Project</w:t>
            </w:r>
          </w:p>
        </w:tc>
        <w:tc>
          <w:tcPr>
            <w:tcW w:w="2268" w:type="dxa"/>
          </w:tcPr>
          <w:p w14:paraId="650AFA5C" w14:textId="77777777" w:rsidR="00E17A77" w:rsidRDefault="0033624F">
            <w:r>
              <w:t>Capability Statement</w:t>
            </w:r>
          </w:p>
        </w:tc>
      </w:tr>
      <w:tr w:rsidR="000B108D" w14:paraId="212EB536" w14:textId="77777777" w:rsidTr="000B108D">
        <w:trPr>
          <w:cantSplit/>
        </w:trPr>
        <w:tc>
          <w:tcPr>
            <w:tcW w:w="2268" w:type="dxa"/>
          </w:tcPr>
          <w:p w14:paraId="5F7F4D7E" w14:textId="77777777" w:rsidR="000B108D" w:rsidRDefault="000B108D" w:rsidP="000B108D">
            <w:r>
              <w:rPr>
                <w:b/>
              </w:rPr>
              <w:t>Site/Asset</w:t>
            </w:r>
          </w:p>
        </w:tc>
        <w:tc>
          <w:tcPr>
            <w:tcW w:w="2268" w:type="dxa"/>
          </w:tcPr>
          <w:p w14:paraId="31CCB883" w14:textId="77777777" w:rsidR="000B108D" w:rsidRDefault="000B108D" w:rsidP="000B108D">
            <w:r>
              <w:t>N/A</w:t>
            </w:r>
          </w:p>
        </w:tc>
        <w:tc>
          <w:tcPr>
            <w:tcW w:w="2268" w:type="dxa"/>
          </w:tcPr>
          <w:p w14:paraId="15CF35FC" w14:textId="77777777" w:rsidR="000B108D" w:rsidRDefault="000B108D" w:rsidP="000B108D">
            <w:r>
              <w:rPr>
                <w:b/>
              </w:rPr>
              <w:t>Contract / PO</w:t>
            </w:r>
          </w:p>
        </w:tc>
        <w:tc>
          <w:tcPr>
            <w:tcW w:w="2268" w:type="dxa"/>
          </w:tcPr>
          <w:p w14:paraId="4956C775" w14:textId="77777777" w:rsidR="000B108D" w:rsidRDefault="000B108D" w:rsidP="000B108D">
            <w:r>
              <w:t>N/A</w:t>
            </w:r>
          </w:p>
        </w:tc>
      </w:tr>
      <w:tr w:rsidR="000B108D" w14:paraId="38A080A7" w14:textId="77777777" w:rsidTr="000B108D">
        <w:trPr>
          <w:cantSplit/>
        </w:trPr>
        <w:tc>
          <w:tcPr>
            <w:tcW w:w="2268" w:type="dxa"/>
          </w:tcPr>
          <w:p w14:paraId="17EAAD10" w14:textId="77777777" w:rsidR="000B108D" w:rsidRDefault="000B108D" w:rsidP="000B108D">
            <w:r>
              <w:rPr>
                <w:b/>
              </w:rPr>
              <w:t>Document Title</w:t>
            </w:r>
          </w:p>
        </w:tc>
        <w:tc>
          <w:tcPr>
            <w:tcW w:w="2268" w:type="dxa"/>
          </w:tcPr>
          <w:p w14:paraId="20FE0D7D" w14:textId="77777777" w:rsidR="00E17A77" w:rsidRDefault="0033624F">
            <w:r>
              <w:t>Capability Statement – Enhance Integration Engineering (EIE)</w:t>
            </w:r>
          </w:p>
        </w:tc>
        <w:tc>
          <w:tcPr>
            <w:tcW w:w="2268" w:type="dxa"/>
          </w:tcPr>
          <w:p w14:paraId="4D58439C" w14:textId="77777777" w:rsidR="000B108D" w:rsidRDefault="000B108D" w:rsidP="000B108D">
            <w:r>
              <w:rPr>
                <w:b/>
              </w:rPr>
              <w:t>Discipline</w:t>
            </w:r>
          </w:p>
        </w:tc>
        <w:tc>
          <w:tcPr>
            <w:tcW w:w="2268" w:type="dxa"/>
          </w:tcPr>
          <w:p w14:paraId="4E269149" w14:textId="77777777" w:rsidR="000B108D" w:rsidRDefault="000B108D" w:rsidP="000B108D">
            <w:r>
              <w:t>N/A</w:t>
            </w:r>
          </w:p>
        </w:tc>
      </w:tr>
      <w:tr w:rsidR="000B108D" w14:paraId="315BA9BA" w14:textId="77777777" w:rsidTr="000B108D">
        <w:trPr>
          <w:cantSplit/>
        </w:trPr>
        <w:tc>
          <w:tcPr>
            <w:tcW w:w="2268" w:type="dxa"/>
          </w:tcPr>
          <w:p w14:paraId="00744610" w14:textId="77777777" w:rsidR="000B108D" w:rsidRDefault="000B108D" w:rsidP="000B108D">
            <w:r>
              <w:rPr>
                <w:b/>
              </w:rPr>
              <w:t>Document No.</w:t>
            </w:r>
          </w:p>
        </w:tc>
        <w:tc>
          <w:tcPr>
            <w:tcW w:w="2268" w:type="dxa"/>
          </w:tcPr>
          <w:p w14:paraId="07B07A8E" w14:textId="77777777" w:rsidR="000B108D" w:rsidRDefault="000B108D" w:rsidP="000B108D">
            <w:r>
              <w:t>D-26-003-01-Rep</w:t>
            </w:r>
          </w:p>
        </w:tc>
        <w:tc>
          <w:tcPr>
            <w:tcW w:w="2268" w:type="dxa"/>
          </w:tcPr>
          <w:p w14:paraId="185A498B" w14:textId="77777777" w:rsidR="000B108D" w:rsidRDefault="000B108D" w:rsidP="000B108D">
            <w:r>
              <w:rPr>
                <w:b/>
              </w:rPr>
              <w:t>Status</w:t>
            </w:r>
          </w:p>
        </w:tc>
        <w:tc>
          <w:tcPr>
            <w:tcW w:w="2268" w:type="dxa"/>
          </w:tcPr>
          <w:p w14:paraId="5AC42210" w14:textId="77777777" w:rsidR="00E17A77" w:rsidRDefault="0033624F">
            <w:r>
              <w:t>IFR</w:t>
            </w:r>
          </w:p>
        </w:tc>
      </w:tr>
      <w:tr w:rsidR="000B108D" w14:paraId="50E07C5B" w14:textId="77777777" w:rsidTr="000B108D">
        <w:trPr>
          <w:cantSplit/>
        </w:trPr>
        <w:tc>
          <w:tcPr>
            <w:tcW w:w="2268" w:type="dxa"/>
          </w:tcPr>
          <w:p w14:paraId="248B0190" w14:textId="77777777" w:rsidR="000B108D" w:rsidRDefault="000B108D" w:rsidP="000B108D">
            <w:r>
              <w:rPr>
                <w:b/>
              </w:rPr>
              <w:t>Revision</w:t>
            </w:r>
          </w:p>
        </w:tc>
        <w:tc>
          <w:tcPr>
            <w:tcW w:w="2268" w:type="dxa"/>
          </w:tcPr>
          <w:p w14:paraId="03C7C59C" w14:textId="77777777" w:rsidR="000B108D" w:rsidRDefault="000B108D" w:rsidP="000B108D">
            <w:r>
              <w:t>A</w:t>
            </w:r>
          </w:p>
        </w:tc>
        <w:tc>
          <w:tcPr>
            <w:tcW w:w="2268" w:type="dxa"/>
          </w:tcPr>
          <w:p w14:paraId="21F4B269" w14:textId="77777777" w:rsidR="000B108D" w:rsidRDefault="000B108D" w:rsidP="000B108D">
            <w:r>
              <w:rPr>
                <w:b/>
              </w:rPr>
              <w:t>Issue Date</w:t>
            </w:r>
          </w:p>
        </w:tc>
        <w:tc>
          <w:tcPr>
            <w:tcW w:w="2268" w:type="dxa"/>
          </w:tcPr>
          <w:p w14:paraId="436D3D96" w14:textId="77777777" w:rsidR="00E17A77" w:rsidRDefault="0033624F">
            <w:r>
              <w:t>25 February 2026</w:t>
            </w:r>
          </w:p>
        </w:tc>
      </w:tr>
      <w:tr w:rsidR="000B108D" w14:paraId="30CF02EA" w14:textId="77777777" w:rsidTr="000B108D">
        <w:trPr>
          <w:cantSplit/>
        </w:trPr>
        <w:tc>
          <w:tcPr>
            <w:tcW w:w="2268" w:type="dxa"/>
          </w:tcPr>
          <w:p w14:paraId="4F0F993B" w14:textId="77777777" w:rsidR="000B108D" w:rsidRDefault="000B108D" w:rsidP="000B108D">
            <w:r>
              <w:rPr>
                <w:b/>
              </w:rPr>
              <w:t>Prepared By</w:t>
            </w:r>
          </w:p>
        </w:tc>
        <w:tc>
          <w:tcPr>
            <w:tcW w:w="2268" w:type="dxa"/>
          </w:tcPr>
          <w:p w14:paraId="24765509" w14:textId="77777777" w:rsidR="000B108D" w:rsidRDefault="000B108D" w:rsidP="000B108D">
            <w:r>
              <w:t>MAB</w:t>
            </w:r>
          </w:p>
        </w:tc>
        <w:tc>
          <w:tcPr>
            <w:tcW w:w="2268" w:type="dxa"/>
          </w:tcPr>
          <w:p w14:paraId="6AA9039F" w14:textId="77777777" w:rsidR="000B108D" w:rsidRDefault="000B108D" w:rsidP="000B108D">
            <w:r>
              <w:rPr>
                <w:b/>
              </w:rPr>
              <w:t>Checked By</w:t>
            </w:r>
          </w:p>
        </w:tc>
        <w:tc>
          <w:tcPr>
            <w:tcW w:w="2268" w:type="dxa"/>
          </w:tcPr>
          <w:p w14:paraId="70FCE44B" w14:textId="77777777" w:rsidR="000B108D" w:rsidRDefault="000B108D" w:rsidP="000B108D"/>
        </w:tc>
      </w:tr>
    </w:tbl>
    <w:p w14:paraId="10AF939E" w14:textId="77777777" w:rsidR="001C6F3E" w:rsidRDefault="00771E1C">
      <w:pPr>
        <w:pStyle w:val="Heading2"/>
      </w:pPr>
      <w:bookmarkStart w:id="2" w:name="_Toc222905286"/>
      <w:r>
        <w:t>Revision History</w:t>
      </w:r>
      <w:bookmarkEnd w:id="2"/>
    </w:p>
    <w:tbl>
      <w:tblPr>
        <w:tblStyle w:val="TableGrid"/>
        <w:tblW w:w="0" w:type="auto"/>
        <w:tblLayout w:type="fixed"/>
        <w:tblLook w:val="04A0" w:firstRow="1" w:lastRow="0" w:firstColumn="1" w:lastColumn="0" w:noHBand="0" w:noVBand="1"/>
      </w:tblPr>
      <w:tblGrid>
        <w:gridCol w:w="1512"/>
        <w:gridCol w:w="1512"/>
        <w:gridCol w:w="1512"/>
        <w:gridCol w:w="1512"/>
        <w:gridCol w:w="1512"/>
        <w:gridCol w:w="1512"/>
      </w:tblGrid>
      <w:tr w:rsidR="001C6F3E" w14:paraId="17E8B7C9" w14:textId="77777777">
        <w:trPr>
          <w:cantSplit/>
        </w:trPr>
        <w:tc>
          <w:tcPr>
            <w:tcW w:w="1512" w:type="dxa"/>
          </w:tcPr>
          <w:p w14:paraId="3ABEC840" w14:textId="77777777" w:rsidR="001C6F3E" w:rsidRDefault="00771E1C">
            <w:r>
              <w:rPr>
                <w:b/>
              </w:rPr>
              <w:t>Rev</w:t>
            </w:r>
          </w:p>
        </w:tc>
        <w:tc>
          <w:tcPr>
            <w:tcW w:w="1512" w:type="dxa"/>
          </w:tcPr>
          <w:p w14:paraId="44150D66" w14:textId="77777777" w:rsidR="001C6F3E" w:rsidRDefault="00771E1C">
            <w:r>
              <w:rPr>
                <w:b/>
              </w:rPr>
              <w:t>Date</w:t>
            </w:r>
          </w:p>
        </w:tc>
        <w:tc>
          <w:tcPr>
            <w:tcW w:w="1512" w:type="dxa"/>
          </w:tcPr>
          <w:p w14:paraId="76AFED33" w14:textId="77777777" w:rsidR="001C6F3E" w:rsidRDefault="00771E1C">
            <w:r>
              <w:rPr>
                <w:b/>
              </w:rPr>
              <w:t>Description of Change</w:t>
            </w:r>
          </w:p>
        </w:tc>
        <w:tc>
          <w:tcPr>
            <w:tcW w:w="1512" w:type="dxa"/>
          </w:tcPr>
          <w:p w14:paraId="562BB3FD" w14:textId="77777777" w:rsidR="001C6F3E" w:rsidRDefault="00771E1C">
            <w:r>
              <w:rPr>
                <w:b/>
              </w:rPr>
              <w:t>Prepared</w:t>
            </w:r>
          </w:p>
        </w:tc>
        <w:tc>
          <w:tcPr>
            <w:tcW w:w="1512" w:type="dxa"/>
          </w:tcPr>
          <w:p w14:paraId="65A4D17E" w14:textId="77777777" w:rsidR="001C6F3E" w:rsidRDefault="00771E1C">
            <w:r>
              <w:rPr>
                <w:b/>
              </w:rPr>
              <w:t>Reviewed</w:t>
            </w:r>
          </w:p>
        </w:tc>
        <w:tc>
          <w:tcPr>
            <w:tcW w:w="1512" w:type="dxa"/>
          </w:tcPr>
          <w:p w14:paraId="7F05ADC7" w14:textId="77777777" w:rsidR="001C6F3E" w:rsidRDefault="00771E1C">
            <w:r>
              <w:rPr>
                <w:b/>
              </w:rPr>
              <w:t>Approved</w:t>
            </w:r>
          </w:p>
        </w:tc>
      </w:tr>
      <w:tr w:rsidR="001C6F3E" w14:paraId="3624B176" w14:textId="77777777">
        <w:trPr>
          <w:cantSplit/>
        </w:trPr>
        <w:tc>
          <w:tcPr>
            <w:tcW w:w="1512" w:type="dxa"/>
          </w:tcPr>
          <w:p w14:paraId="55DF63AC" w14:textId="77777777" w:rsidR="00E17A77" w:rsidRDefault="0033624F">
            <w:r>
              <w:t>A</w:t>
            </w:r>
          </w:p>
        </w:tc>
        <w:tc>
          <w:tcPr>
            <w:tcW w:w="1512" w:type="dxa"/>
          </w:tcPr>
          <w:p w14:paraId="75FFAC86" w14:textId="77777777" w:rsidR="00E17A77" w:rsidRDefault="0033624F">
            <w:r>
              <w:t>25 Feb 2026</w:t>
            </w:r>
          </w:p>
        </w:tc>
        <w:tc>
          <w:tcPr>
            <w:tcW w:w="1512" w:type="dxa"/>
          </w:tcPr>
          <w:p w14:paraId="6C8A9839" w14:textId="77777777" w:rsidR="00E17A77" w:rsidRDefault="0033624F">
            <w:r>
              <w:t>Initial issue – Proposal capability statement</w:t>
            </w:r>
          </w:p>
        </w:tc>
        <w:tc>
          <w:tcPr>
            <w:tcW w:w="1512" w:type="dxa"/>
          </w:tcPr>
          <w:p w14:paraId="1BFEB32D" w14:textId="77777777" w:rsidR="00E17A77" w:rsidRDefault="0033624F">
            <w:r>
              <w:t>MAB</w:t>
            </w:r>
          </w:p>
        </w:tc>
        <w:tc>
          <w:tcPr>
            <w:tcW w:w="1512" w:type="dxa"/>
          </w:tcPr>
          <w:p w14:paraId="152C918D" w14:textId="77777777" w:rsidR="00E17A77" w:rsidRDefault="00E17A77"/>
        </w:tc>
        <w:tc>
          <w:tcPr>
            <w:tcW w:w="1512" w:type="dxa"/>
          </w:tcPr>
          <w:p w14:paraId="69D89DA5" w14:textId="77777777" w:rsidR="00E17A77" w:rsidRDefault="00E17A77"/>
        </w:tc>
      </w:tr>
      <w:tr w:rsidR="001C6F3E" w14:paraId="703EF054" w14:textId="77777777">
        <w:trPr>
          <w:cantSplit/>
        </w:trPr>
        <w:tc>
          <w:tcPr>
            <w:tcW w:w="1512" w:type="dxa"/>
          </w:tcPr>
          <w:p w14:paraId="38B8D2A3" w14:textId="77777777" w:rsidR="001C6F3E" w:rsidRDefault="001C6F3E"/>
        </w:tc>
        <w:tc>
          <w:tcPr>
            <w:tcW w:w="1512" w:type="dxa"/>
          </w:tcPr>
          <w:p w14:paraId="257577BB" w14:textId="77777777" w:rsidR="001C6F3E" w:rsidRDefault="001C6F3E"/>
        </w:tc>
        <w:tc>
          <w:tcPr>
            <w:tcW w:w="1512" w:type="dxa"/>
          </w:tcPr>
          <w:p w14:paraId="267F0379" w14:textId="77777777" w:rsidR="001C6F3E" w:rsidRDefault="001C6F3E"/>
        </w:tc>
        <w:tc>
          <w:tcPr>
            <w:tcW w:w="1512" w:type="dxa"/>
          </w:tcPr>
          <w:p w14:paraId="71B4F7D2" w14:textId="77777777" w:rsidR="001C6F3E" w:rsidRDefault="001C6F3E"/>
        </w:tc>
        <w:tc>
          <w:tcPr>
            <w:tcW w:w="1512" w:type="dxa"/>
          </w:tcPr>
          <w:p w14:paraId="46941C57" w14:textId="77777777" w:rsidR="001C6F3E" w:rsidRDefault="001C6F3E"/>
        </w:tc>
        <w:tc>
          <w:tcPr>
            <w:tcW w:w="1512" w:type="dxa"/>
          </w:tcPr>
          <w:p w14:paraId="3B10028F" w14:textId="77777777" w:rsidR="001C6F3E" w:rsidRDefault="001C6F3E"/>
        </w:tc>
      </w:tr>
      <w:tr w:rsidR="001C6F3E" w14:paraId="36CA88CD" w14:textId="77777777">
        <w:trPr>
          <w:cantSplit/>
        </w:trPr>
        <w:tc>
          <w:tcPr>
            <w:tcW w:w="1512" w:type="dxa"/>
          </w:tcPr>
          <w:p w14:paraId="3996B230" w14:textId="77777777" w:rsidR="001C6F3E" w:rsidRDefault="001C6F3E"/>
        </w:tc>
        <w:tc>
          <w:tcPr>
            <w:tcW w:w="1512" w:type="dxa"/>
          </w:tcPr>
          <w:p w14:paraId="653EB606" w14:textId="77777777" w:rsidR="001C6F3E" w:rsidRDefault="001C6F3E"/>
        </w:tc>
        <w:tc>
          <w:tcPr>
            <w:tcW w:w="1512" w:type="dxa"/>
          </w:tcPr>
          <w:p w14:paraId="31D9F52C" w14:textId="77777777" w:rsidR="001C6F3E" w:rsidRDefault="001C6F3E"/>
        </w:tc>
        <w:tc>
          <w:tcPr>
            <w:tcW w:w="1512" w:type="dxa"/>
          </w:tcPr>
          <w:p w14:paraId="119F6F88" w14:textId="77777777" w:rsidR="001C6F3E" w:rsidRDefault="001C6F3E"/>
        </w:tc>
        <w:tc>
          <w:tcPr>
            <w:tcW w:w="1512" w:type="dxa"/>
          </w:tcPr>
          <w:p w14:paraId="2C866004" w14:textId="77777777" w:rsidR="001C6F3E" w:rsidRDefault="001C6F3E"/>
        </w:tc>
        <w:tc>
          <w:tcPr>
            <w:tcW w:w="1512" w:type="dxa"/>
          </w:tcPr>
          <w:p w14:paraId="3A1E485A" w14:textId="77777777" w:rsidR="001C6F3E" w:rsidRDefault="001C6F3E"/>
        </w:tc>
      </w:tr>
      <w:tr w:rsidR="001C6F3E" w14:paraId="39C8B050" w14:textId="77777777">
        <w:trPr>
          <w:cantSplit/>
        </w:trPr>
        <w:tc>
          <w:tcPr>
            <w:tcW w:w="1512" w:type="dxa"/>
          </w:tcPr>
          <w:p w14:paraId="12EEEDBA" w14:textId="77777777" w:rsidR="001C6F3E" w:rsidRDefault="001C6F3E"/>
        </w:tc>
        <w:tc>
          <w:tcPr>
            <w:tcW w:w="1512" w:type="dxa"/>
          </w:tcPr>
          <w:p w14:paraId="7322B675" w14:textId="77777777" w:rsidR="001C6F3E" w:rsidRDefault="001C6F3E"/>
        </w:tc>
        <w:tc>
          <w:tcPr>
            <w:tcW w:w="1512" w:type="dxa"/>
          </w:tcPr>
          <w:p w14:paraId="15BEA80F" w14:textId="77777777" w:rsidR="001C6F3E" w:rsidRDefault="001C6F3E"/>
        </w:tc>
        <w:tc>
          <w:tcPr>
            <w:tcW w:w="1512" w:type="dxa"/>
          </w:tcPr>
          <w:p w14:paraId="4E41FD2C" w14:textId="77777777" w:rsidR="001C6F3E" w:rsidRDefault="001C6F3E"/>
        </w:tc>
        <w:tc>
          <w:tcPr>
            <w:tcW w:w="1512" w:type="dxa"/>
          </w:tcPr>
          <w:p w14:paraId="549A63E4" w14:textId="77777777" w:rsidR="001C6F3E" w:rsidRDefault="001C6F3E"/>
        </w:tc>
        <w:tc>
          <w:tcPr>
            <w:tcW w:w="1512" w:type="dxa"/>
          </w:tcPr>
          <w:p w14:paraId="41F6F2AD" w14:textId="77777777" w:rsidR="001C6F3E" w:rsidRDefault="001C6F3E"/>
        </w:tc>
      </w:tr>
    </w:tbl>
    <w:p w14:paraId="6320C241" w14:textId="77777777" w:rsidR="001C6F3E" w:rsidRDefault="00771E1C">
      <w:r>
        <w:br w:type="page"/>
      </w:r>
    </w:p>
    <w:p w14:paraId="7AC9259B" w14:textId="77777777" w:rsidR="001C6F3E" w:rsidRDefault="00771E1C">
      <w:pPr>
        <w:pStyle w:val="Heading1"/>
      </w:pPr>
      <w:bookmarkStart w:id="3" w:name="_Toc222905287"/>
      <w:r>
        <w:lastRenderedPageBreak/>
        <w:t>Distribution List</w:t>
      </w:r>
      <w:bookmarkEnd w:id="3"/>
    </w:p>
    <w:p w14:paraId="11B49E07" w14:textId="77777777" w:rsidR="001C6F3E" w:rsidRDefault="00771E1C">
      <w:r>
        <w:t>Record who received each issued revision (electronic and/or hard copy).</w:t>
      </w:r>
    </w:p>
    <w:tbl>
      <w:tblPr>
        <w:tblStyle w:val="TableGrid"/>
        <w:tblW w:w="0" w:type="auto"/>
        <w:tblLayout w:type="fixed"/>
        <w:tblLook w:val="04A0" w:firstRow="1" w:lastRow="0" w:firstColumn="1" w:lastColumn="0" w:noHBand="0" w:noVBand="1"/>
      </w:tblPr>
      <w:tblGrid>
        <w:gridCol w:w="2268"/>
        <w:gridCol w:w="2268"/>
        <w:gridCol w:w="2268"/>
        <w:gridCol w:w="2268"/>
      </w:tblGrid>
      <w:tr w:rsidR="001C6F3E" w14:paraId="6456BD7D" w14:textId="77777777">
        <w:trPr>
          <w:cantSplit/>
        </w:trPr>
        <w:tc>
          <w:tcPr>
            <w:tcW w:w="2268" w:type="dxa"/>
          </w:tcPr>
          <w:p w14:paraId="591F299D" w14:textId="77777777" w:rsidR="001C6F3E" w:rsidRDefault="00771E1C">
            <w:r>
              <w:rPr>
                <w:b/>
              </w:rPr>
              <w:t>Name / Role</w:t>
            </w:r>
          </w:p>
        </w:tc>
        <w:tc>
          <w:tcPr>
            <w:tcW w:w="2268" w:type="dxa"/>
          </w:tcPr>
          <w:p w14:paraId="1B8C5948" w14:textId="77777777" w:rsidR="001C6F3E" w:rsidRDefault="00771E1C">
            <w:r>
              <w:rPr>
                <w:b/>
              </w:rPr>
              <w:t>Organisation</w:t>
            </w:r>
          </w:p>
        </w:tc>
        <w:tc>
          <w:tcPr>
            <w:tcW w:w="2268" w:type="dxa"/>
          </w:tcPr>
          <w:p w14:paraId="7249F28C" w14:textId="77777777" w:rsidR="001C6F3E" w:rsidRDefault="00771E1C">
            <w:r>
              <w:rPr>
                <w:b/>
              </w:rPr>
              <w:t>Copy Type (E/H)</w:t>
            </w:r>
          </w:p>
        </w:tc>
        <w:tc>
          <w:tcPr>
            <w:tcW w:w="2268" w:type="dxa"/>
          </w:tcPr>
          <w:p w14:paraId="19EAEB6F" w14:textId="77777777" w:rsidR="001C6F3E" w:rsidRDefault="00771E1C">
            <w:r>
              <w:rPr>
                <w:b/>
              </w:rPr>
              <w:t>Email / Location</w:t>
            </w:r>
          </w:p>
        </w:tc>
      </w:tr>
      <w:tr w:rsidR="001C6F3E" w14:paraId="1B5D7DB3" w14:textId="77777777">
        <w:trPr>
          <w:cantSplit/>
        </w:trPr>
        <w:tc>
          <w:tcPr>
            <w:tcW w:w="2268" w:type="dxa"/>
          </w:tcPr>
          <w:p w14:paraId="6EB05F24" w14:textId="77777777" w:rsidR="001C6F3E" w:rsidRDefault="007C06D4">
            <w:r>
              <w:t>MAB</w:t>
            </w:r>
          </w:p>
        </w:tc>
        <w:tc>
          <w:tcPr>
            <w:tcW w:w="2268" w:type="dxa"/>
          </w:tcPr>
          <w:p w14:paraId="7F3ED625" w14:textId="77777777" w:rsidR="001C6F3E" w:rsidRDefault="007C06D4">
            <w:r>
              <w:t>EIE</w:t>
            </w:r>
          </w:p>
        </w:tc>
        <w:tc>
          <w:tcPr>
            <w:tcW w:w="2268" w:type="dxa"/>
          </w:tcPr>
          <w:p w14:paraId="28AA4334" w14:textId="77777777" w:rsidR="001C6F3E" w:rsidRDefault="007C06D4">
            <w:r>
              <w:t>N/A</w:t>
            </w:r>
          </w:p>
        </w:tc>
        <w:tc>
          <w:tcPr>
            <w:tcW w:w="2268" w:type="dxa"/>
          </w:tcPr>
          <w:p w14:paraId="26E0DBD0" w14:textId="77777777" w:rsidR="001C6F3E" w:rsidRDefault="001C6F3E"/>
        </w:tc>
      </w:tr>
      <w:tr w:rsidR="001C6F3E" w14:paraId="1C7F9F7E" w14:textId="77777777">
        <w:trPr>
          <w:cantSplit/>
        </w:trPr>
        <w:tc>
          <w:tcPr>
            <w:tcW w:w="2268" w:type="dxa"/>
          </w:tcPr>
          <w:p w14:paraId="6CAC0C46" w14:textId="77777777" w:rsidR="001C6F3E" w:rsidRDefault="001C6F3E"/>
        </w:tc>
        <w:tc>
          <w:tcPr>
            <w:tcW w:w="2268" w:type="dxa"/>
          </w:tcPr>
          <w:p w14:paraId="1F5FC7E0" w14:textId="77777777" w:rsidR="001C6F3E" w:rsidRDefault="001C6F3E"/>
        </w:tc>
        <w:tc>
          <w:tcPr>
            <w:tcW w:w="2268" w:type="dxa"/>
          </w:tcPr>
          <w:p w14:paraId="3883AC53" w14:textId="77777777" w:rsidR="001C6F3E" w:rsidRDefault="001C6F3E"/>
        </w:tc>
        <w:tc>
          <w:tcPr>
            <w:tcW w:w="2268" w:type="dxa"/>
          </w:tcPr>
          <w:p w14:paraId="2E76BEBA" w14:textId="77777777" w:rsidR="001C6F3E" w:rsidRDefault="001C6F3E"/>
        </w:tc>
      </w:tr>
      <w:tr w:rsidR="001C6F3E" w14:paraId="5863EF11" w14:textId="77777777">
        <w:trPr>
          <w:cantSplit/>
        </w:trPr>
        <w:tc>
          <w:tcPr>
            <w:tcW w:w="2268" w:type="dxa"/>
          </w:tcPr>
          <w:p w14:paraId="671667E8" w14:textId="77777777" w:rsidR="001C6F3E" w:rsidRDefault="001C6F3E"/>
        </w:tc>
        <w:tc>
          <w:tcPr>
            <w:tcW w:w="2268" w:type="dxa"/>
          </w:tcPr>
          <w:p w14:paraId="619D25E4" w14:textId="77777777" w:rsidR="001C6F3E" w:rsidRDefault="001C6F3E"/>
        </w:tc>
        <w:tc>
          <w:tcPr>
            <w:tcW w:w="2268" w:type="dxa"/>
          </w:tcPr>
          <w:p w14:paraId="64C38A45" w14:textId="77777777" w:rsidR="001C6F3E" w:rsidRDefault="001C6F3E"/>
        </w:tc>
        <w:tc>
          <w:tcPr>
            <w:tcW w:w="2268" w:type="dxa"/>
          </w:tcPr>
          <w:p w14:paraId="3C9C6F3B" w14:textId="77777777" w:rsidR="001C6F3E" w:rsidRDefault="001C6F3E"/>
        </w:tc>
      </w:tr>
      <w:tr w:rsidR="001C6F3E" w14:paraId="499F5B49" w14:textId="77777777">
        <w:trPr>
          <w:cantSplit/>
        </w:trPr>
        <w:tc>
          <w:tcPr>
            <w:tcW w:w="2268" w:type="dxa"/>
          </w:tcPr>
          <w:p w14:paraId="0CD747B4" w14:textId="77777777" w:rsidR="001C6F3E" w:rsidRDefault="001C6F3E"/>
        </w:tc>
        <w:tc>
          <w:tcPr>
            <w:tcW w:w="2268" w:type="dxa"/>
          </w:tcPr>
          <w:p w14:paraId="39E686C7" w14:textId="77777777" w:rsidR="001C6F3E" w:rsidRDefault="001C6F3E"/>
        </w:tc>
        <w:tc>
          <w:tcPr>
            <w:tcW w:w="2268" w:type="dxa"/>
          </w:tcPr>
          <w:p w14:paraId="5BCD5795" w14:textId="77777777" w:rsidR="001C6F3E" w:rsidRDefault="001C6F3E"/>
        </w:tc>
        <w:tc>
          <w:tcPr>
            <w:tcW w:w="2268" w:type="dxa"/>
          </w:tcPr>
          <w:p w14:paraId="6FA5E06B" w14:textId="77777777" w:rsidR="001C6F3E" w:rsidRDefault="001C6F3E"/>
        </w:tc>
      </w:tr>
    </w:tbl>
    <w:p w14:paraId="017DE773" w14:textId="77777777" w:rsidR="001C6F3E" w:rsidRDefault="00771E1C">
      <w:pPr>
        <w:pStyle w:val="Heading2"/>
      </w:pPr>
      <w:bookmarkStart w:id="4" w:name="_Toc222905288"/>
      <w:r>
        <w:t>Issue Status Codes (example)</w:t>
      </w:r>
      <w:bookmarkEnd w:id="4"/>
    </w:p>
    <w:p w14:paraId="5624D7C8" w14:textId="77777777" w:rsidR="001C6F3E" w:rsidRDefault="00771E1C">
      <w:r>
        <w:t>• Draft – Working copy (not for external use)</w:t>
      </w:r>
      <w:r>
        <w:br/>
        <w:t>• IFR – Issued for Review</w:t>
      </w:r>
      <w:r>
        <w:br/>
        <w:t>• IFA – Issued for Approval</w:t>
      </w:r>
      <w:r>
        <w:br/>
        <w:t>• IFC – Issued for Construction / Implementation</w:t>
      </w:r>
      <w:r>
        <w:br/>
        <w:t>• As-Built – Final record after completion</w:t>
      </w:r>
    </w:p>
    <w:p w14:paraId="5E76E58D" w14:textId="77777777" w:rsidR="001C6F3E" w:rsidRDefault="00771E1C">
      <w:r>
        <w:br w:type="page"/>
      </w:r>
    </w:p>
    <w:p w14:paraId="12514BFC" w14:textId="77777777" w:rsidR="001C6F3E" w:rsidRDefault="00771E1C">
      <w:pPr>
        <w:pStyle w:val="Heading1"/>
      </w:pPr>
      <w:bookmarkStart w:id="5" w:name="_Toc222905289"/>
      <w:r>
        <w:lastRenderedPageBreak/>
        <w:t>Table of Contents</w:t>
      </w:r>
      <w:bookmarkEnd w:id="5"/>
    </w:p>
    <w:p w14:paraId="53DCBC64" w14:textId="77777777" w:rsidR="001C6F3E" w:rsidRDefault="00771E1C">
      <w:r>
        <w:t>(Update the Table of Contents in Word by selecting the list and pressing F9.)</w:t>
      </w:r>
    </w:p>
    <w:p w14:paraId="56342ADC" w14:textId="77777777" w:rsidR="00C64947" w:rsidRDefault="00771E1C">
      <w:pPr>
        <w:pStyle w:val="TOC1"/>
        <w:tabs>
          <w:tab w:val="right" w:leader="dot" w:pos="9062"/>
        </w:tabs>
        <w:rPr>
          <w:noProof/>
        </w:rPr>
      </w:pPr>
      <w:r>
        <w:fldChar w:fldCharType="begin"/>
      </w:r>
      <w:r>
        <w:instrText>TOC \o "1-3" \h \z \u</w:instrText>
      </w:r>
      <w:r>
        <w:fldChar w:fldCharType="separate"/>
      </w:r>
      <w:hyperlink w:anchor="_Toc222905284" w:history="1">
        <w:r w:rsidR="00C64947" w:rsidRPr="008C5895">
          <w:rPr>
            <w:rStyle w:val="Hyperlink"/>
            <w:noProof/>
          </w:rPr>
          <w:t>Document Control</w:t>
        </w:r>
        <w:r w:rsidR="00C64947">
          <w:rPr>
            <w:noProof/>
            <w:webHidden/>
          </w:rPr>
          <w:tab/>
        </w:r>
        <w:r w:rsidR="00C64947">
          <w:rPr>
            <w:noProof/>
            <w:webHidden/>
          </w:rPr>
          <w:fldChar w:fldCharType="begin"/>
        </w:r>
        <w:r w:rsidR="00C64947">
          <w:rPr>
            <w:noProof/>
            <w:webHidden/>
          </w:rPr>
          <w:instrText xml:space="preserve"> PAGEREF _Toc222905284 \h </w:instrText>
        </w:r>
        <w:r w:rsidR="00C64947">
          <w:rPr>
            <w:noProof/>
            <w:webHidden/>
          </w:rPr>
        </w:r>
        <w:r w:rsidR="00C64947">
          <w:rPr>
            <w:noProof/>
            <w:webHidden/>
          </w:rPr>
          <w:fldChar w:fldCharType="separate"/>
        </w:r>
        <w:r w:rsidR="00C64947">
          <w:rPr>
            <w:noProof/>
            <w:webHidden/>
          </w:rPr>
          <w:t>2</w:t>
        </w:r>
        <w:r w:rsidR="00C64947">
          <w:rPr>
            <w:noProof/>
            <w:webHidden/>
          </w:rPr>
          <w:fldChar w:fldCharType="end"/>
        </w:r>
      </w:hyperlink>
    </w:p>
    <w:p w14:paraId="2A5D0E4B" w14:textId="77777777" w:rsidR="00C64947" w:rsidRDefault="00C64947">
      <w:pPr>
        <w:pStyle w:val="TOC2"/>
        <w:tabs>
          <w:tab w:val="right" w:leader="dot" w:pos="9062"/>
        </w:tabs>
        <w:rPr>
          <w:noProof/>
        </w:rPr>
      </w:pPr>
      <w:hyperlink w:anchor="_Toc222905285" w:history="1">
        <w:r w:rsidRPr="008C5895">
          <w:rPr>
            <w:rStyle w:val="Hyperlink"/>
            <w:noProof/>
          </w:rPr>
          <w:t>Document Details</w:t>
        </w:r>
        <w:r>
          <w:rPr>
            <w:noProof/>
            <w:webHidden/>
          </w:rPr>
          <w:tab/>
        </w:r>
        <w:r>
          <w:rPr>
            <w:noProof/>
            <w:webHidden/>
          </w:rPr>
          <w:fldChar w:fldCharType="begin"/>
        </w:r>
        <w:r>
          <w:rPr>
            <w:noProof/>
            <w:webHidden/>
          </w:rPr>
          <w:instrText xml:space="preserve"> PAGEREF _Toc222905285 \h </w:instrText>
        </w:r>
        <w:r>
          <w:rPr>
            <w:noProof/>
            <w:webHidden/>
          </w:rPr>
        </w:r>
        <w:r>
          <w:rPr>
            <w:noProof/>
            <w:webHidden/>
          </w:rPr>
          <w:fldChar w:fldCharType="separate"/>
        </w:r>
        <w:r>
          <w:rPr>
            <w:noProof/>
            <w:webHidden/>
          </w:rPr>
          <w:t>2</w:t>
        </w:r>
        <w:r>
          <w:rPr>
            <w:noProof/>
            <w:webHidden/>
          </w:rPr>
          <w:fldChar w:fldCharType="end"/>
        </w:r>
      </w:hyperlink>
    </w:p>
    <w:p w14:paraId="4EFA1AF4" w14:textId="77777777" w:rsidR="00C64947" w:rsidRDefault="00C64947">
      <w:pPr>
        <w:pStyle w:val="TOC2"/>
        <w:tabs>
          <w:tab w:val="right" w:leader="dot" w:pos="9062"/>
        </w:tabs>
        <w:rPr>
          <w:noProof/>
        </w:rPr>
      </w:pPr>
      <w:hyperlink w:anchor="_Toc222905286" w:history="1">
        <w:r w:rsidRPr="008C5895">
          <w:rPr>
            <w:rStyle w:val="Hyperlink"/>
            <w:noProof/>
          </w:rPr>
          <w:t>Revision History</w:t>
        </w:r>
        <w:r>
          <w:rPr>
            <w:noProof/>
            <w:webHidden/>
          </w:rPr>
          <w:tab/>
        </w:r>
        <w:r>
          <w:rPr>
            <w:noProof/>
            <w:webHidden/>
          </w:rPr>
          <w:fldChar w:fldCharType="begin"/>
        </w:r>
        <w:r>
          <w:rPr>
            <w:noProof/>
            <w:webHidden/>
          </w:rPr>
          <w:instrText xml:space="preserve"> PAGEREF _Toc222905286 \h </w:instrText>
        </w:r>
        <w:r>
          <w:rPr>
            <w:noProof/>
            <w:webHidden/>
          </w:rPr>
        </w:r>
        <w:r>
          <w:rPr>
            <w:noProof/>
            <w:webHidden/>
          </w:rPr>
          <w:fldChar w:fldCharType="separate"/>
        </w:r>
        <w:r>
          <w:rPr>
            <w:noProof/>
            <w:webHidden/>
          </w:rPr>
          <w:t>2</w:t>
        </w:r>
        <w:r>
          <w:rPr>
            <w:noProof/>
            <w:webHidden/>
          </w:rPr>
          <w:fldChar w:fldCharType="end"/>
        </w:r>
      </w:hyperlink>
    </w:p>
    <w:p w14:paraId="6BE8D5F5" w14:textId="77777777" w:rsidR="00C64947" w:rsidRDefault="00C64947">
      <w:pPr>
        <w:pStyle w:val="TOC1"/>
        <w:tabs>
          <w:tab w:val="right" w:leader="dot" w:pos="9062"/>
        </w:tabs>
        <w:rPr>
          <w:noProof/>
        </w:rPr>
      </w:pPr>
      <w:hyperlink w:anchor="_Toc222905287" w:history="1">
        <w:r w:rsidRPr="008C5895">
          <w:rPr>
            <w:rStyle w:val="Hyperlink"/>
            <w:noProof/>
          </w:rPr>
          <w:t>Distribution List</w:t>
        </w:r>
        <w:r>
          <w:rPr>
            <w:noProof/>
            <w:webHidden/>
          </w:rPr>
          <w:tab/>
        </w:r>
        <w:r>
          <w:rPr>
            <w:noProof/>
            <w:webHidden/>
          </w:rPr>
          <w:fldChar w:fldCharType="begin"/>
        </w:r>
        <w:r>
          <w:rPr>
            <w:noProof/>
            <w:webHidden/>
          </w:rPr>
          <w:instrText xml:space="preserve"> PAGEREF _Toc222905287 \h </w:instrText>
        </w:r>
        <w:r>
          <w:rPr>
            <w:noProof/>
            <w:webHidden/>
          </w:rPr>
        </w:r>
        <w:r>
          <w:rPr>
            <w:noProof/>
            <w:webHidden/>
          </w:rPr>
          <w:fldChar w:fldCharType="separate"/>
        </w:r>
        <w:r>
          <w:rPr>
            <w:noProof/>
            <w:webHidden/>
          </w:rPr>
          <w:t>3</w:t>
        </w:r>
        <w:r>
          <w:rPr>
            <w:noProof/>
            <w:webHidden/>
          </w:rPr>
          <w:fldChar w:fldCharType="end"/>
        </w:r>
      </w:hyperlink>
    </w:p>
    <w:p w14:paraId="5E65179B" w14:textId="77777777" w:rsidR="00C64947" w:rsidRDefault="00C64947">
      <w:pPr>
        <w:pStyle w:val="TOC2"/>
        <w:tabs>
          <w:tab w:val="right" w:leader="dot" w:pos="9062"/>
        </w:tabs>
        <w:rPr>
          <w:noProof/>
        </w:rPr>
      </w:pPr>
      <w:hyperlink w:anchor="_Toc222905288" w:history="1">
        <w:r w:rsidRPr="008C5895">
          <w:rPr>
            <w:rStyle w:val="Hyperlink"/>
            <w:noProof/>
          </w:rPr>
          <w:t>Issue Status Codes (example)</w:t>
        </w:r>
        <w:r>
          <w:rPr>
            <w:noProof/>
            <w:webHidden/>
          </w:rPr>
          <w:tab/>
        </w:r>
        <w:r>
          <w:rPr>
            <w:noProof/>
            <w:webHidden/>
          </w:rPr>
          <w:fldChar w:fldCharType="begin"/>
        </w:r>
        <w:r>
          <w:rPr>
            <w:noProof/>
            <w:webHidden/>
          </w:rPr>
          <w:instrText xml:space="preserve"> PAGEREF _Toc222905288 \h </w:instrText>
        </w:r>
        <w:r>
          <w:rPr>
            <w:noProof/>
            <w:webHidden/>
          </w:rPr>
        </w:r>
        <w:r>
          <w:rPr>
            <w:noProof/>
            <w:webHidden/>
          </w:rPr>
          <w:fldChar w:fldCharType="separate"/>
        </w:r>
        <w:r>
          <w:rPr>
            <w:noProof/>
            <w:webHidden/>
          </w:rPr>
          <w:t>3</w:t>
        </w:r>
        <w:r>
          <w:rPr>
            <w:noProof/>
            <w:webHidden/>
          </w:rPr>
          <w:fldChar w:fldCharType="end"/>
        </w:r>
      </w:hyperlink>
    </w:p>
    <w:p w14:paraId="67477C09" w14:textId="77777777" w:rsidR="00C64947" w:rsidRDefault="00C64947">
      <w:pPr>
        <w:pStyle w:val="TOC1"/>
        <w:tabs>
          <w:tab w:val="right" w:leader="dot" w:pos="9062"/>
        </w:tabs>
        <w:rPr>
          <w:noProof/>
        </w:rPr>
      </w:pPr>
      <w:hyperlink w:anchor="_Toc222905289" w:history="1">
        <w:r w:rsidRPr="008C5895">
          <w:rPr>
            <w:rStyle w:val="Hyperlink"/>
            <w:noProof/>
          </w:rPr>
          <w:t>Table of Contents</w:t>
        </w:r>
        <w:r>
          <w:rPr>
            <w:noProof/>
            <w:webHidden/>
          </w:rPr>
          <w:tab/>
        </w:r>
        <w:r>
          <w:rPr>
            <w:noProof/>
            <w:webHidden/>
          </w:rPr>
          <w:fldChar w:fldCharType="begin"/>
        </w:r>
        <w:r>
          <w:rPr>
            <w:noProof/>
            <w:webHidden/>
          </w:rPr>
          <w:instrText xml:space="preserve"> PAGEREF _Toc222905289 \h </w:instrText>
        </w:r>
        <w:r>
          <w:rPr>
            <w:noProof/>
            <w:webHidden/>
          </w:rPr>
        </w:r>
        <w:r>
          <w:rPr>
            <w:noProof/>
            <w:webHidden/>
          </w:rPr>
          <w:fldChar w:fldCharType="separate"/>
        </w:r>
        <w:r>
          <w:rPr>
            <w:noProof/>
            <w:webHidden/>
          </w:rPr>
          <w:t>4</w:t>
        </w:r>
        <w:r>
          <w:rPr>
            <w:noProof/>
            <w:webHidden/>
          </w:rPr>
          <w:fldChar w:fldCharType="end"/>
        </w:r>
      </w:hyperlink>
    </w:p>
    <w:p w14:paraId="3C6E403C" w14:textId="77777777" w:rsidR="00C64947" w:rsidRDefault="00C64947">
      <w:pPr>
        <w:pStyle w:val="TOC1"/>
        <w:tabs>
          <w:tab w:val="right" w:leader="dot" w:pos="9062"/>
        </w:tabs>
        <w:rPr>
          <w:noProof/>
        </w:rPr>
      </w:pPr>
      <w:hyperlink w:anchor="_Toc222905290" w:history="1">
        <w:r w:rsidRPr="008C5895">
          <w:rPr>
            <w:rStyle w:val="Hyperlink"/>
            <w:noProof/>
          </w:rPr>
          <w:t>Executive Summary</w:t>
        </w:r>
        <w:r>
          <w:rPr>
            <w:noProof/>
            <w:webHidden/>
          </w:rPr>
          <w:tab/>
        </w:r>
        <w:r>
          <w:rPr>
            <w:noProof/>
            <w:webHidden/>
          </w:rPr>
          <w:fldChar w:fldCharType="begin"/>
        </w:r>
        <w:r>
          <w:rPr>
            <w:noProof/>
            <w:webHidden/>
          </w:rPr>
          <w:instrText xml:space="preserve"> PAGEREF _Toc222905290 \h </w:instrText>
        </w:r>
        <w:r>
          <w:rPr>
            <w:noProof/>
            <w:webHidden/>
          </w:rPr>
        </w:r>
        <w:r>
          <w:rPr>
            <w:noProof/>
            <w:webHidden/>
          </w:rPr>
          <w:fldChar w:fldCharType="separate"/>
        </w:r>
        <w:r>
          <w:rPr>
            <w:noProof/>
            <w:webHidden/>
          </w:rPr>
          <w:t>6</w:t>
        </w:r>
        <w:r>
          <w:rPr>
            <w:noProof/>
            <w:webHidden/>
          </w:rPr>
          <w:fldChar w:fldCharType="end"/>
        </w:r>
      </w:hyperlink>
    </w:p>
    <w:p w14:paraId="6CA304E7" w14:textId="77777777" w:rsidR="00C64947" w:rsidRDefault="00C64947">
      <w:pPr>
        <w:pStyle w:val="TOC1"/>
        <w:tabs>
          <w:tab w:val="right" w:leader="dot" w:pos="9062"/>
        </w:tabs>
        <w:rPr>
          <w:noProof/>
        </w:rPr>
      </w:pPr>
      <w:hyperlink w:anchor="_Toc222905291" w:history="1">
        <w:r w:rsidRPr="008C5895">
          <w:rPr>
            <w:rStyle w:val="Hyperlink"/>
            <w:noProof/>
          </w:rPr>
          <w:t>1. Introduction</w:t>
        </w:r>
        <w:r>
          <w:rPr>
            <w:noProof/>
            <w:webHidden/>
          </w:rPr>
          <w:tab/>
        </w:r>
        <w:r>
          <w:rPr>
            <w:noProof/>
            <w:webHidden/>
          </w:rPr>
          <w:fldChar w:fldCharType="begin"/>
        </w:r>
        <w:r>
          <w:rPr>
            <w:noProof/>
            <w:webHidden/>
          </w:rPr>
          <w:instrText xml:space="preserve"> PAGEREF _Toc222905291 \h </w:instrText>
        </w:r>
        <w:r>
          <w:rPr>
            <w:noProof/>
            <w:webHidden/>
          </w:rPr>
        </w:r>
        <w:r>
          <w:rPr>
            <w:noProof/>
            <w:webHidden/>
          </w:rPr>
          <w:fldChar w:fldCharType="separate"/>
        </w:r>
        <w:r>
          <w:rPr>
            <w:noProof/>
            <w:webHidden/>
          </w:rPr>
          <w:t>6</w:t>
        </w:r>
        <w:r>
          <w:rPr>
            <w:noProof/>
            <w:webHidden/>
          </w:rPr>
          <w:fldChar w:fldCharType="end"/>
        </w:r>
      </w:hyperlink>
    </w:p>
    <w:p w14:paraId="44FFFA38" w14:textId="77777777" w:rsidR="00C64947" w:rsidRDefault="00C64947">
      <w:pPr>
        <w:pStyle w:val="TOC2"/>
        <w:tabs>
          <w:tab w:val="right" w:leader="dot" w:pos="9062"/>
        </w:tabs>
        <w:rPr>
          <w:noProof/>
        </w:rPr>
      </w:pPr>
      <w:hyperlink w:anchor="_Toc222905292" w:history="1">
        <w:r w:rsidRPr="008C5895">
          <w:rPr>
            <w:rStyle w:val="Hyperlink"/>
            <w:noProof/>
          </w:rPr>
          <w:t>1.1 Purpose</w:t>
        </w:r>
        <w:r>
          <w:rPr>
            <w:noProof/>
            <w:webHidden/>
          </w:rPr>
          <w:tab/>
        </w:r>
        <w:r>
          <w:rPr>
            <w:noProof/>
            <w:webHidden/>
          </w:rPr>
          <w:fldChar w:fldCharType="begin"/>
        </w:r>
        <w:r>
          <w:rPr>
            <w:noProof/>
            <w:webHidden/>
          </w:rPr>
          <w:instrText xml:space="preserve"> PAGEREF _Toc222905292 \h </w:instrText>
        </w:r>
        <w:r>
          <w:rPr>
            <w:noProof/>
            <w:webHidden/>
          </w:rPr>
        </w:r>
        <w:r>
          <w:rPr>
            <w:noProof/>
            <w:webHidden/>
          </w:rPr>
          <w:fldChar w:fldCharType="separate"/>
        </w:r>
        <w:r>
          <w:rPr>
            <w:noProof/>
            <w:webHidden/>
          </w:rPr>
          <w:t>6</w:t>
        </w:r>
        <w:r>
          <w:rPr>
            <w:noProof/>
            <w:webHidden/>
          </w:rPr>
          <w:fldChar w:fldCharType="end"/>
        </w:r>
      </w:hyperlink>
    </w:p>
    <w:p w14:paraId="2B2F0A31" w14:textId="77777777" w:rsidR="00C64947" w:rsidRDefault="00C64947">
      <w:pPr>
        <w:pStyle w:val="TOC2"/>
        <w:tabs>
          <w:tab w:val="right" w:leader="dot" w:pos="9062"/>
        </w:tabs>
        <w:rPr>
          <w:noProof/>
        </w:rPr>
      </w:pPr>
      <w:hyperlink w:anchor="_Toc222905293" w:history="1">
        <w:r w:rsidRPr="008C5895">
          <w:rPr>
            <w:rStyle w:val="Hyperlink"/>
            <w:noProof/>
          </w:rPr>
          <w:t>1.2 Scope</w:t>
        </w:r>
        <w:r>
          <w:rPr>
            <w:noProof/>
            <w:webHidden/>
          </w:rPr>
          <w:tab/>
        </w:r>
        <w:r>
          <w:rPr>
            <w:noProof/>
            <w:webHidden/>
          </w:rPr>
          <w:fldChar w:fldCharType="begin"/>
        </w:r>
        <w:r>
          <w:rPr>
            <w:noProof/>
            <w:webHidden/>
          </w:rPr>
          <w:instrText xml:space="preserve"> PAGEREF _Toc222905293 \h </w:instrText>
        </w:r>
        <w:r>
          <w:rPr>
            <w:noProof/>
            <w:webHidden/>
          </w:rPr>
        </w:r>
        <w:r>
          <w:rPr>
            <w:noProof/>
            <w:webHidden/>
          </w:rPr>
          <w:fldChar w:fldCharType="separate"/>
        </w:r>
        <w:r>
          <w:rPr>
            <w:noProof/>
            <w:webHidden/>
          </w:rPr>
          <w:t>6</w:t>
        </w:r>
        <w:r>
          <w:rPr>
            <w:noProof/>
            <w:webHidden/>
          </w:rPr>
          <w:fldChar w:fldCharType="end"/>
        </w:r>
      </w:hyperlink>
    </w:p>
    <w:p w14:paraId="46A6B718" w14:textId="77777777" w:rsidR="00C64947" w:rsidRDefault="00C64947">
      <w:pPr>
        <w:pStyle w:val="TOC2"/>
        <w:tabs>
          <w:tab w:val="right" w:leader="dot" w:pos="9062"/>
        </w:tabs>
        <w:rPr>
          <w:noProof/>
        </w:rPr>
      </w:pPr>
      <w:hyperlink w:anchor="_Toc222905294" w:history="1">
        <w:r w:rsidRPr="008C5895">
          <w:rPr>
            <w:rStyle w:val="Hyperlink"/>
            <w:noProof/>
          </w:rPr>
          <w:t>1.3 Background</w:t>
        </w:r>
        <w:r>
          <w:rPr>
            <w:noProof/>
            <w:webHidden/>
          </w:rPr>
          <w:tab/>
        </w:r>
        <w:r>
          <w:rPr>
            <w:noProof/>
            <w:webHidden/>
          </w:rPr>
          <w:fldChar w:fldCharType="begin"/>
        </w:r>
        <w:r>
          <w:rPr>
            <w:noProof/>
            <w:webHidden/>
          </w:rPr>
          <w:instrText xml:space="preserve"> PAGEREF _Toc222905294 \h </w:instrText>
        </w:r>
        <w:r>
          <w:rPr>
            <w:noProof/>
            <w:webHidden/>
          </w:rPr>
        </w:r>
        <w:r>
          <w:rPr>
            <w:noProof/>
            <w:webHidden/>
          </w:rPr>
          <w:fldChar w:fldCharType="separate"/>
        </w:r>
        <w:r>
          <w:rPr>
            <w:noProof/>
            <w:webHidden/>
          </w:rPr>
          <w:t>6</w:t>
        </w:r>
        <w:r>
          <w:rPr>
            <w:noProof/>
            <w:webHidden/>
          </w:rPr>
          <w:fldChar w:fldCharType="end"/>
        </w:r>
      </w:hyperlink>
    </w:p>
    <w:p w14:paraId="04CADD87" w14:textId="77777777" w:rsidR="00C64947" w:rsidRDefault="00C64947">
      <w:pPr>
        <w:pStyle w:val="TOC1"/>
        <w:tabs>
          <w:tab w:val="right" w:leader="dot" w:pos="9062"/>
        </w:tabs>
        <w:rPr>
          <w:noProof/>
        </w:rPr>
      </w:pPr>
      <w:r>
        <w:t>2. Governance, Standards and Assumptions</w:t>
      </w:r>
      <w:r>
        <w:tab/>
        <w:t>6</w:t>
      </w:r>
    </w:p>
    <w:p w14:paraId="75A1344B" w14:textId="77777777" w:rsidR="00C64947" w:rsidRDefault="00C64947">
      <w:pPr>
        <w:pStyle w:val="TOC2"/>
        <w:tabs>
          <w:tab w:val="right" w:leader="dot" w:pos="9062"/>
        </w:tabs>
        <w:rPr>
          <w:noProof/>
        </w:rPr>
      </w:pPr>
      <w:hyperlink w:anchor="_Toc222905296" w:history="1">
        <w:r w:rsidRPr="008C5895">
          <w:rPr>
            <w:rStyle w:val="Hyperlink"/>
            <w:noProof/>
          </w:rPr>
          <w:t>2.1 Design Basis</w:t>
        </w:r>
        <w:r>
          <w:rPr>
            <w:noProof/>
            <w:webHidden/>
          </w:rPr>
          <w:tab/>
        </w:r>
        <w:r>
          <w:rPr>
            <w:noProof/>
            <w:webHidden/>
          </w:rPr>
          <w:fldChar w:fldCharType="begin"/>
        </w:r>
        <w:r>
          <w:rPr>
            <w:noProof/>
            <w:webHidden/>
          </w:rPr>
          <w:instrText xml:space="preserve"> PAGEREF _Toc222905296 \h </w:instrText>
        </w:r>
        <w:r>
          <w:rPr>
            <w:noProof/>
            <w:webHidden/>
          </w:rPr>
        </w:r>
        <w:r>
          <w:rPr>
            <w:noProof/>
            <w:webHidden/>
          </w:rPr>
          <w:fldChar w:fldCharType="separate"/>
        </w:r>
        <w:r>
          <w:rPr>
            <w:noProof/>
            <w:webHidden/>
          </w:rPr>
          <w:t>6</w:t>
        </w:r>
        <w:r>
          <w:rPr>
            <w:noProof/>
            <w:webHidden/>
          </w:rPr>
          <w:fldChar w:fldCharType="end"/>
        </w:r>
      </w:hyperlink>
    </w:p>
    <w:p w14:paraId="4460208D" w14:textId="77777777" w:rsidR="00C64947" w:rsidRDefault="00C64947">
      <w:pPr>
        <w:pStyle w:val="TOC2"/>
        <w:tabs>
          <w:tab w:val="right" w:leader="dot" w:pos="9062"/>
        </w:tabs>
        <w:rPr>
          <w:noProof/>
        </w:rPr>
      </w:pPr>
      <w:hyperlink w:anchor="_Toc222905297" w:history="1">
        <w:r w:rsidRPr="008C5895">
          <w:rPr>
            <w:rStyle w:val="Hyperlink"/>
            <w:noProof/>
          </w:rPr>
          <w:t>2.2 Codes, Standards, and Regulations</w:t>
        </w:r>
        <w:r>
          <w:rPr>
            <w:noProof/>
            <w:webHidden/>
          </w:rPr>
          <w:tab/>
        </w:r>
        <w:r>
          <w:rPr>
            <w:noProof/>
            <w:webHidden/>
          </w:rPr>
          <w:fldChar w:fldCharType="begin"/>
        </w:r>
        <w:r>
          <w:rPr>
            <w:noProof/>
            <w:webHidden/>
          </w:rPr>
          <w:instrText xml:space="preserve"> PAGEREF _Toc222905297 \h </w:instrText>
        </w:r>
        <w:r>
          <w:rPr>
            <w:noProof/>
            <w:webHidden/>
          </w:rPr>
        </w:r>
        <w:r>
          <w:rPr>
            <w:noProof/>
            <w:webHidden/>
          </w:rPr>
          <w:fldChar w:fldCharType="separate"/>
        </w:r>
        <w:r>
          <w:rPr>
            <w:noProof/>
            <w:webHidden/>
          </w:rPr>
          <w:t>6</w:t>
        </w:r>
        <w:r>
          <w:rPr>
            <w:noProof/>
            <w:webHidden/>
          </w:rPr>
          <w:fldChar w:fldCharType="end"/>
        </w:r>
      </w:hyperlink>
    </w:p>
    <w:p w14:paraId="36CD8C14" w14:textId="77777777" w:rsidR="00C64947" w:rsidRDefault="00C64947">
      <w:pPr>
        <w:pStyle w:val="TOC2"/>
        <w:tabs>
          <w:tab w:val="right" w:leader="dot" w:pos="9062"/>
        </w:tabs>
        <w:rPr>
          <w:noProof/>
        </w:rPr>
      </w:pPr>
      <w:hyperlink w:anchor="_Toc222905298" w:history="1">
        <w:r w:rsidRPr="008C5895">
          <w:rPr>
            <w:rStyle w:val="Hyperlink"/>
            <w:noProof/>
          </w:rPr>
          <w:t>2.3 Key Assumptions</w:t>
        </w:r>
        <w:r>
          <w:rPr>
            <w:noProof/>
            <w:webHidden/>
          </w:rPr>
          <w:tab/>
        </w:r>
        <w:r>
          <w:rPr>
            <w:noProof/>
            <w:webHidden/>
          </w:rPr>
          <w:fldChar w:fldCharType="begin"/>
        </w:r>
        <w:r>
          <w:rPr>
            <w:noProof/>
            <w:webHidden/>
          </w:rPr>
          <w:instrText xml:space="preserve"> PAGEREF _Toc222905298 \h </w:instrText>
        </w:r>
        <w:r>
          <w:rPr>
            <w:noProof/>
            <w:webHidden/>
          </w:rPr>
        </w:r>
        <w:r>
          <w:rPr>
            <w:noProof/>
            <w:webHidden/>
          </w:rPr>
          <w:fldChar w:fldCharType="separate"/>
        </w:r>
        <w:r>
          <w:rPr>
            <w:noProof/>
            <w:webHidden/>
          </w:rPr>
          <w:t>6</w:t>
        </w:r>
        <w:r>
          <w:rPr>
            <w:noProof/>
            <w:webHidden/>
          </w:rPr>
          <w:fldChar w:fldCharType="end"/>
        </w:r>
      </w:hyperlink>
    </w:p>
    <w:p w14:paraId="0683A05A" w14:textId="77777777" w:rsidR="00C64947" w:rsidRDefault="00C64947">
      <w:pPr>
        <w:pStyle w:val="TOC1"/>
        <w:tabs>
          <w:tab w:val="right" w:leader="dot" w:pos="9062"/>
        </w:tabs>
        <w:rPr>
          <w:noProof/>
        </w:rPr>
      </w:pPr>
      <w:r>
        <w:t>3. Delivery Approach</w:t>
      </w:r>
      <w:r>
        <w:tab/>
        <w:t>7</w:t>
      </w:r>
    </w:p>
    <w:p w14:paraId="02AB624F" w14:textId="77777777" w:rsidR="00C64947" w:rsidRDefault="00C64947">
      <w:pPr>
        <w:pStyle w:val="TOC2"/>
        <w:tabs>
          <w:tab w:val="right" w:leader="dot" w:pos="9062"/>
        </w:tabs>
        <w:rPr>
          <w:noProof/>
        </w:rPr>
      </w:pPr>
      <w:hyperlink w:anchor="_Toc222905300" w:history="1">
        <w:r w:rsidRPr="008C5895">
          <w:rPr>
            <w:rStyle w:val="Hyperlink"/>
            <w:noProof/>
          </w:rPr>
          <w:t>3.1 Data Sources</w:t>
        </w:r>
        <w:r>
          <w:rPr>
            <w:noProof/>
            <w:webHidden/>
          </w:rPr>
          <w:tab/>
        </w:r>
        <w:r>
          <w:rPr>
            <w:noProof/>
            <w:webHidden/>
          </w:rPr>
          <w:fldChar w:fldCharType="begin"/>
        </w:r>
        <w:r>
          <w:rPr>
            <w:noProof/>
            <w:webHidden/>
          </w:rPr>
          <w:instrText xml:space="preserve"> PAGEREF _Toc222905300 \h </w:instrText>
        </w:r>
        <w:r>
          <w:rPr>
            <w:noProof/>
            <w:webHidden/>
          </w:rPr>
        </w:r>
        <w:r>
          <w:rPr>
            <w:noProof/>
            <w:webHidden/>
          </w:rPr>
          <w:fldChar w:fldCharType="separate"/>
        </w:r>
        <w:r>
          <w:rPr>
            <w:noProof/>
            <w:webHidden/>
          </w:rPr>
          <w:t>7</w:t>
        </w:r>
        <w:r>
          <w:rPr>
            <w:noProof/>
            <w:webHidden/>
          </w:rPr>
          <w:fldChar w:fldCharType="end"/>
        </w:r>
      </w:hyperlink>
    </w:p>
    <w:p w14:paraId="03E71A5D" w14:textId="77777777" w:rsidR="00C64947" w:rsidRDefault="00C64947">
      <w:pPr>
        <w:pStyle w:val="TOC2"/>
        <w:tabs>
          <w:tab w:val="right" w:leader="dot" w:pos="9062"/>
        </w:tabs>
        <w:rPr>
          <w:noProof/>
        </w:rPr>
      </w:pPr>
      <w:hyperlink w:anchor="_Toc222905301" w:history="1">
        <w:r w:rsidRPr="008C5895">
          <w:rPr>
            <w:rStyle w:val="Hyperlink"/>
            <w:noProof/>
          </w:rPr>
          <w:t>3.2 Approach</w:t>
        </w:r>
        <w:r>
          <w:rPr>
            <w:noProof/>
            <w:webHidden/>
          </w:rPr>
          <w:tab/>
        </w:r>
        <w:r>
          <w:rPr>
            <w:noProof/>
            <w:webHidden/>
          </w:rPr>
          <w:fldChar w:fldCharType="begin"/>
        </w:r>
        <w:r>
          <w:rPr>
            <w:noProof/>
            <w:webHidden/>
          </w:rPr>
          <w:instrText xml:space="preserve"> PAGEREF _Toc222905301 \h </w:instrText>
        </w:r>
        <w:r>
          <w:rPr>
            <w:noProof/>
            <w:webHidden/>
          </w:rPr>
        </w:r>
        <w:r>
          <w:rPr>
            <w:noProof/>
            <w:webHidden/>
          </w:rPr>
          <w:fldChar w:fldCharType="separate"/>
        </w:r>
        <w:r>
          <w:rPr>
            <w:noProof/>
            <w:webHidden/>
          </w:rPr>
          <w:t>7</w:t>
        </w:r>
        <w:r>
          <w:rPr>
            <w:noProof/>
            <w:webHidden/>
          </w:rPr>
          <w:fldChar w:fldCharType="end"/>
        </w:r>
      </w:hyperlink>
    </w:p>
    <w:p w14:paraId="53EB14F6" w14:textId="77777777" w:rsidR="00C64947" w:rsidRDefault="00C64947">
      <w:pPr>
        <w:pStyle w:val="TOC2"/>
        <w:tabs>
          <w:tab w:val="right" w:leader="dot" w:pos="9062"/>
        </w:tabs>
        <w:rPr>
          <w:noProof/>
        </w:rPr>
      </w:pPr>
      <w:hyperlink w:anchor="_Toc222905302" w:history="1">
        <w:r w:rsidRPr="008C5895">
          <w:rPr>
            <w:rStyle w:val="Hyperlink"/>
            <w:noProof/>
          </w:rPr>
          <w:t>3.3 Limitations</w:t>
        </w:r>
        <w:r>
          <w:rPr>
            <w:noProof/>
            <w:webHidden/>
          </w:rPr>
          <w:tab/>
        </w:r>
        <w:r>
          <w:rPr>
            <w:noProof/>
            <w:webHidden/>
          </w:rPr>
          <w:fldChar w:fldCharType="begin"/>
        </w:r>
        <w:r>
          <w:rPr>
            <w:noProof/>
            <w:webHidden/>
          </w:rPr>
          <w:instrText xml:space="preserve"> PAGEREF _Toc222905302 \h </w:instrText>
        </w:r>
        <w:r>
          <w:rPr>
            <w:noProof/>
            <w:webHidden/>
          </w:rPr>
        </w:r>
        <w:r>
          <w:rPr>
            <w:noProof/>
            <w:webHidden/>
          </w:rPr>
          <w:fldChar w:fldCharType="separate"/>
        </w:r>
        <w:r>
          <w:rPr>
            <w:noProof/>
            <w:webHidden/>
          </w:rPr>
          <w:t>7</w:t>
        </w:r>
        <w:r>
          <w:rPr>
            <w:noProof/>
            <w:webHidden/>
          </w:rPr>
          <w:fldChar w:fldCharType="end"/>
        </w:r>
      </w:hyperlink>
    </w:p>
    <w:p w14:paraId="7C901485" w14:textId="77777777" w:rsidR="00C64947" w:rsidRDefault="00C64947">
      <w:pPr>
        <w:pStyle w:val="TOC1"/>
        <w:tabs>
          <w:tab w:val="right" w:leader="dot" w:pos="9062"/>
        </w:tabs>
        <w:rPr>
          <w:noProof/>
        </w:rPr>
      </w:pPr>
      <w:r>
        <w:t>4. Capabilities and Services</w:t>
      </w:r>
      <w:r>
        <w:tab/>
        <w:t>7</w:t>
      </w:r>
    </w:p>
    <w:p w14:paraId="3E702A34" w14:textId="77777777" w:rsidR="00C64947" w:rsidRDefault="00C64947">
      <w:pPr>
        <w:pStyle w:val="TOC2"/>
        <w:tabs>
          <w:tab w:val="right" w:leader="dot" w:pos="9062"/>
        </w:tabs>
        <w:rPr>
          <w:noProof/>
        </w:rPr>
      </w:pPr>
      <w:r>
        <w:t>4.1 Service Offerings Overview</w:t>
      </w:r>
      <w:r>
        <w:tab/>
        <w:t>7</w:t>
      </w:r>
    </w:p>
    <w:p w14:paraId="700FD857" w14:textId="77777777" w:rsidR="00C64947" w:rsidRDefault="00C64947">
      <w:pPr>
        <w:pStyle w:val="TOC2"/>
        <w:tabs>
          <w:tab w:val="right" w:leader="dot" w:pos="9062"/>
        </w:tabs>
        <w:rPr>
          <w:noProof/>
        </w:rPr>
      </w:pPr>
      <w:r>
        <w:t>4.2 Service Catalogue</w:t>
      </w:r>
      <w:r>
        <w:tab/>
        <w:t>7</w:t>
      </w:r>
    </w:p>
    <w:p w14:paraId="2AEB7E70" w14:textId="77777777" w:rsidR="00C64947" w:rsidRDefault="00C64947">
      <w:pPr>
        <w:pStyle w:val="TOC2"/>
        <w:tabs>
          <w:tab w:val="right" w:leader="dot" w:pos="9062"/>
        </w:tabs>
        <w:rPr>
          <w:noProof/>
        </w:rPr>
      </w:pPr>
      <w:r>
        <w:t>4.3 Experience, Tools and Differentiators</w:t>
      </w:r>
      <w:r>
        <w:tab/>
        <w:t>7</w:t>
      </w:r>
    </w:p>
    <w:p w14:paraId="275E59D8" w14:textId="77777777" w:rsidR="00C64947" w:rsidRDefault="00C64947">
      <w:pPr>
        <w:pStyle w:val="TOC1"/>
        <w:tabs>
          <w:tab w:val="right" w:leader="dot" w:pos="9062"/>
        </w:tabs>
        <w:rPr>
          <w:noProof/>
        </w:rPr>
      </w:pPr>
      <w:r>
        <w:t>5. Management System (WHS, Quality, Security)</w:t>
      </w:r>
      <w:r>
        <w:tab/>
        <w:t>7</w:t>
      </w:r>
    </w:p>
    <w:p w14:paraId="69A96E0F" w14:textId="77777777" w:rsidR="00C64947" w:rsidRDefault="00C64947">
      <w:pPr>
        <w:pStyle w:val="TOC2"/>
        <w:tabs>
          <w:tab w:val="right" w:leader="dot" w:pos="9062"/>
        </w:tabs>
        <w:rPr>
          <w:noProof/>
        </w:rPr>
      </w:pPr>
      <w:r>
        <w:t>5.1 Business Risks and Controls Summary</w:t>
      </w:r>
      <w:r>
        <w:tab/>
        <w:t>7</w:t>
      </w:r>
    </w:p>
    <w:p w14:paraId="23F0374D" w14:textId="77777777" w:rsidR="00C64947" w:rsidRDefault="00C64947">
      <w:pPr>
        <w:pStyle w:val="TOC1"/>
        <w:tabs>
          <w:tab w:val="right" w:leader="dot" w:pos="9062"/>
        </w:tabs>
        <w:rPr>
          <w:noProof/>
        </w:rPr>
      </w:pPr>
      <w:r>
        <w:t>6. Why EIE</w:t>
      </w:r>
      <w:r>
        <w:tab/>
        <w:t>7</w:t>
      </w:r>
    </w:p>
    <w:p w14:paraId="5186567E" w14:textId="77777777" w:rsidR="00C64947" w:rsidRDefault="00C64947">
      <w:pPr>
        <w:pStyle w:val="TOC1"/>
        <w:tabs>
          <w:tab w:val="right" w:leader="dot" w:pos="9062"/>
        </w:tabs>
        <w:rPr>
          <w:noProof/>
        </w:rPr>
      </w:pPr>
      <w:r>
        <w:t>7. Engagement Pathway</w:t>
      </w:r>
      <w:r>
        <w:tab/>
        <w:t>8</w:t>
      </w:r>
    </w:p>
    <w:p w14:paraId="29B11197" w14:textId="77777777" w:rsidR="00C64947" w:rsidRDefault="00C64947">
      <w:pPr>
        <w:pStyle w:val="TOC1"/>
        <w:tabs>
          <w:tab w:val="right" w:leader="dot" w:pos="9062"/>
        </w:tabs>
        <w:rPr>
          <w:noProof/>
        </w:rPr>
      </w:pPr>
      <w:r>
        <w:t>8. References</w:t>
      </w:r>
      <w:r>
        <w:tab/>
        <w:t>8</w:t>
      </w:r>
    </w:p>
    <w:p w14:paraId="08FCA454" w14:textId="77777777" w:rsidR="00C64947" w:rsidRDefault="00C64947">
      <w:pPr>
        <w:pStyle w:val="TOC1"/>
        <w:tabs>
          <w:tab w:val="right" w:leader="dot" w:pos="9062"/>
        </w:tabs>
        <w:rPr>
          <w:noProof/>
        </w:rPr>
      </w:pPr>
      <w:r>
        <w:t>Appendix A: Key Personnel (Dr Martin Bardsley)</w:t>
      </w:r>
      <w:r>
        <w:tab/>
        <w:t>8</w:t>
      </w:r>
    </w:p>
    <w:p w14:paraId="5F38CF27" w14:textId="77777777" w:rsidR="00C64947" w:rsidRDefault="00C64947">
      <w:pPr>
        <w:pStyle w:val="TOC1"/>
        <w:tabs>
          <w:tab w:val="right" w:leader="dot" w:pos="9062"/>
        </w:tabs>
        <w:rPr>
          <w:noProof/>
        </w:rPr>
      </w:pPr>
      <w:r>
        <w:t>Appendix B: Experience Snapshot (Selected Projects)</w:t>
      </w:r>
      <w:r>
        <w:tab/>
        <w:t>8</w:t>
      </w:r>
    </w:p>
    <w:p w14:paraId="2170048E" w14:textId="77777777" w:rsidR="00C64947" w:rsidRDefault="00C64947">
      <w:pPr>
        <w:pStyle w:val="TOC1"/>
        <w:tabs>
          <w:tab w:val="right" w:leader="dot" w:pos="9062"/>
        </w:tabs>
        <w:rPr>
          <w:noProof/>
        </w:rPr>
      </w:pPr>
      <w:r>
        <w:lastRenderedPageBreak/>
        <w:t>Appendix C: Tools, Methodologies and Training Portfolio</w:t>
      </w:r>
      <w:r>
        <w:tab/>
        <w:t>8</w:t>
      </w:r>
    </w:p>
    <w:p w14:paraId="616B78F3" w14:textId="77777777" w:rsidR="00C64947" w:rsidRDefault="00C64947">
      <w:pPr>
        <w:pStyle w:val="TOC1"/>
        <w:tabs>
          <w:tab w:val="right" w:leader="dot" w:pos="9062"/>
        </w:tabs>
        <w:rPr>
          <w:noProof/>
        </w:rPr>
      </w:pPr>
      <w:r>
        <w:t>Appendix D: Publishing and Thought Leadership</w:t>
      </w:r>
      <w:r>
        <w:tab/>
        <w:t>8</w:t>
      </w:r>
    </w:p>
    <w:p w14:paraId="730BF969" w14:textId="77777777" w:rsidR="001C6F3E" w:rsidRDefault="00771E1C">
      <w:r>
        <w:fldChar w:fldCharType="end"/>
      </w:r>
    </w:p>
    <w:p w14:paraId="2D6C2A01" w14:textId="77777777" w:rsidR="001C6F3E" w:rsidRDefault="00771E1C">
      <w:r>
        <w:t>To update the Table of Contents in Word: click in the table and press F9, or right-click and choose 'Update Field'.</w:t>
      </w:r>
    </w:p>
    <w:p w14:paraId="299441C1" w14:textId="77777777" w:rsidR="001C6F3E" w:rsidRDefault="00771E1C">
      <w:r>
        <w:br w:type="page"/>
      </w:r>
    </w:p>
    <w:p w14:paraId="37AB5757" w14:textId="77777777" w:rsidR="001C6F3E" w:rsidRDefault="00771E1C">
      <w:pPr>
        <w:pStyle w:val="Heading1"/>
      </w:pPr>
      <w:bookmarkStart w:id="6" w:name="_Toc222905290"/>
      <w:r>
        <w:lastRenderedPageBreak/>
        <w:t>Executive Summary</w:t>
      </w:r>
      <w:bookmarkEnd w:id="6"/>
    </w:p>
    <w:p w14:paraId="4342705C" w14:textId="77777777" w:rsidR="001C6F3E" w:rsidRDefault="00771E1C">
      <w:pPr>
        <w:spacing w:after="160"/>
      </w:pPr>
      <w:r>
        <w:t>EIE is a Perth-based engineering consultancy specialising in process safety, risk engineering, training and practical AI-enabled efficiency improvements for high-hazard industries (oil and gas, LNG, chemicals and mining operations). Our work is primarily advisory and report-based, focused on clear, defensible recommendations that support safer operations, regulatory readiness and improved decision-making.</w:t>
      </w:r>
    </w:p>
    <w:p w14:paraId="66DD4566" w14:textId="77777777" w:rsidR="00E17A77" w:rsidRDefault="0033624F">
      <w:pPr>
        <w:pStyle w:val="ListBullet"/>
      </w:pPr>
      <w:r>
        <w:t>Process safety consulting: PHA/HAZID/HAZOP support and facilitation; LOPA support; bowties and barrier management; SCE performance thinking; FSA support; consequence modelling and QRA inputs; safety case support inputs.</w:t>
      </w:r>
    </w:p>
    <w:p w14:paraId="51BC3AF0" w14:textId="77777777" w:rsidR="00E17A77" w:rsidRDefault="0033624F">
      <w:pPr>
        <w:pStyle w:val="ListBullet"/>
      </w:pPr>
      <w:r>
        <w:t>Process safety reporting: gap assessments; safety management system reviews; HAZOP/PHA/LOPA reporting; development of HAZOP/PHA/LOPA and risk workshop methodologies; FSA report support; decommissioning plan support.</w:t>
      </w:r>
    </w:p>
    <w:p w14:paraId="3D2DDDB5" w14:textId="77777777" w:rsidR="00E17A77" w:rsidRDefault="0033624F">
      <w:pPr>
        <w:pStyle w:val="ListBullet"/>
      </w:pPr>
      <w:r>
        <w:t>Training: process safety and engineering short courses; workshop effectiveness; functional safety awareness; and broader education in science, technology and business development.</w:t>
      </w:r>
    </w:p>
    <w:p w14:paraId="239F3E66" w14:textId="77777777" w:rsidR="00E17A77" w:rsidRDefault="0033624F">
      <w:pPr>
        <w:pStyle w:val="ListBullet"/>
      </w:pPr>
      <w:r>
        <w:t>AI and efficiency consulting: workflow automation; knowledge management; analytics and decision support; and methodology/software prototyping for engineering teams.</w:t>
      </w:r>
    </w:p>
    <w:p w14:paraId="2F299A22" w14:textId="77777777" w:rsidR="00E17A77" w:rsidRDefault="0033624F">
      <w:r>
        <w:t>Key personnel: Dr Martin Bardsley (BEng(Hons), PhD, MIEAust) – Technical Director (Process, Safety &amp; Risk). Martin is widely respected for expertise in risk assessment, fire and explosion modelling, reliability and availability modelling, FSA studies, SIL studies/verification and safety case support. He has developed innovative risk assessment models and a combined HAZOP and SIL workshop methodology, and has delivered studies and workshops for major operators and engineering contractors.</w:t>
      </w:r>
    </w:p>
    <w:p w14:paraId="6A0AE457" w14:textId="77777777" w:rsidR="00E17A77" w:rsidRDefault="0033624F">
      <w:r>
        <w:t>EIE provides office-based delivery by default, with structured workshops delivered in-person or remotely as agreed. Every engagement includes defined scope boundaries, documented assumptions, document control, and change management to ensure recommendations remain actionable and aligned to client governance.</w:t>
      </w:r>
    </w:p>
    <w:p w14:paraId="3EE6BD37" w14:textId="77777777" w:rsidR="001C6F3E" w:rsidRDefault="00771E1C">
      <w:pPr>
        <w:pStyle w:val="Heading1"/>
      </w:pPr>
      <w:bookmarkStart w:id="7" w:name="_Toc222905291"/>
      <w:r>
        <w:t>1. Introduction</w:t>
      </w:r>
      <w:bookmarkEnd w:id="7"/>
    </w:p>
    <w:p w14:paraId="34F5B821" w14:textId="77777777" w:rsidR="001C6F3E" w:rsidRDefault="00771E1C">
      <w:pPr>
        <w:pStyle w:val="Heading2"/>
      </w:pPr>
      <w:bookmarkStart w:id="8" w:name="_Toc222905292"/>
      <w:r>
        <w:t>1.1 Purpose</w:t>
      </w:r>
      <w:bookmarkEnd w:id="8"/>
    </w:p>
    <w:p w14:paraId="51A598F6" w14:textId="77777777" w:rsidR="001C6F3E" w:rsidRDefault="00771E1C">
      <w:pPr>
        <w:spacing w:after="160"/>
      </w:pPr>
      <w:r>
        <w:t>To present EIE’s capabilities, experience and delivery approach for inclusion in proposals and vendor onboarding packages.</w:t>
      </w:r>
    </w:p>
    <w:p w14:paraId="58EA0070" w14:textId="77777777" w:rsidR="001C6F3E" w:rsidRDefault="00771E1C">
      <w:pPr>
        <w:pStyle w:val="Heading2"/>
      </w:pPr>
      <w:bookmarkStart w:id="9" w:name="_Toc222905293"/>
      <w:r>
        <w:t>1.2 Scope</w:t>
      </w:r>
      <w:bookmarkEnd w:id="9"/>
    </w:p>
    <w:p w14:paraId="241FB82F" w14:textId="77777777" w:rsidR="001C6F3E" w:rsidRDefault="00771E1C">
      <w:pPr>
        <w:spacing w:after="160"/>
      </w:pPr>
      <w:r>
        <w:t>Included: process safety consulting and facilitation, process safety and safety case reporting support, consequence/risk modelling support, training, and AI/efficiency consulting. Excluded unless expressly agreed: detailed engineering design, drawing sign-off/certification, acting as the facility operator, and legal/regulatory submission responsibility.</w:t>
      </w:r>
    </w:p>
    <w:p w14:paraId="6FE9A156" w14:textId="77777777" w:rsidR="001C6F3E" w:rsidRDefault="00771E1C">
      <w:pPr>
        <w:pStyle w:val="Heading2"/>
      </w:pPr>
      <w:bookmarkStart w:id="10" w:name="_Toc222905294"/>
      <w:r>
        <w:lastRenderedPageBreak/>
        <w:t>1.3 Background</w:t>
      </w:r>
      <w:bookmarkEnd w:id="10"/>
    </w:p>
    <w:p w14:paraId="70DF5E45" w14:textId="77777777" w:rsidR="001C6F3E" w:rsidRDefault="00771E1C">
      <w:pPr>
        <w:spacing w:after="160"/>
      </w:pPr>
      <w:r>
        <w:t>EIE is located in Perth, Western Australia and was established to provide integrated process safety, risk engineering and training services to high-hazard industries. Delivery is typically office-based and provided through structured studies, workshops and recommendation-focused reports aligned to client governance.</w:t>
      </w:r>
    </w:p>
    <w:p w14:paraId="44306AFC" w14:textId="77777777" w:rsidR="001C6F3E" w:rsidRDefault="00771E1C">
      <w:pPr>
        <w:pStyle w:val="Heading1"/>
      </w:pPr>
      <w:r>
        <w:t>2. Governance, Standards and Assumptions</w:t>
      </w:r>
    </w:p>
    <w:p w14:paraId="1085315F" w14:textId="77777777" w:rsidR="001C6F3E" w:rsidRDefault="00771E1C">
      <w:pPr>
        <w:pStyle w:val="Heading2"/>
      </w:pPr>
      <w:bookmarkStart w:id="11" w:name="_Toc222905296"/>
      <w:r>
        <w:t>2.1 Design Basis</w:t>
      </w:r>
      <w:bookmarkEnd w:id="11"/>
    </w:p>
    <w:p w14:paraId="60C3CB99" w14:textId="77777777" w:rsidR="001C6F3E" w:rsidRDefault="00771E1C">
      <w:pPr>
        <w:spacing w:after="160"/>
      </w:pPr>
      <w:r>
        <w:t>EIE’s delivery is decision-focused and designed to produce defensible, practical recommendations. We apply recognised industry standards and proven facilitation and modelling approaches, tailored to the client’s risk criteria, governance requirements and project lifecycle stage.</w:t>
      </w:r>
    </w:p>
    <w:p w14:paraId="52668E5D" w14:textId="77777777" w:rsidR="001C6F3E" w:rsidRDefault="00771E1C">
      <w:pPr>
        <w:pStyle w:val="Heading2"/>
      </w:pPr>
      <w:bookmarkStart w:id="12" w:name="_Toc222905297"/>
      <w:r>
        <w:t>2.2 Codes, Standards, and Regulations</w:t>
      </w:r>
      <w:bookmarkEnd w:id="12"/>
    </w:p>
    <w:p w14:paraId="43706133" w14:textId="77777777" w:rsidR="001C6F3E" w:rsidRDefault="00771E1C">
      <w:pPr>
        <w:spacing w:after="160"/>
      </w:pPr>
      <w:r>
        <w:t>Typical reference frameworks used (as applicable to the client’s scope and jurisdiction) include:</w:t>
      </w:r>
    </w:p>
    <w:tbl>
      <w:tblPr>
        <w:tblStyle w:val="TableGrid"/>
        <w:tblW w:w="0" w:type="auto"/>
        <w:tblLayout w:type="fixed"/>
        <w:tblLook w:val="04A0" w:firstRow="1" w:lastRow="0" w:firstColumn="1" w:lastColumn="0" w:noHBand="0" w:noVBand="1"/>
      </w:tblPr>
      <w:tblGrid>
        <w:gridCol w:w="3024"/>
        <w:gridCol w:w="3024"/>
        <w:gridCol w:w="3024"/>
      </w:tblGrid>
      <w:tr w:rsidR="001C6F3E" w14:paraId="34BD6B13" w14:textId="77777777">
        <w:trPr>
          <w:cantSplit/>
        </w:trPr>
        <w:tc>
          <w:tcPr>
            <w:tcW w:w="3024" w:type="dxa"/>
          </w:tcPr>
          <w:p w14:paraId="494DAC15" w14:textId="77777777" w:rsidR="001C6F3E" w:rsidRDefault="00771E1C">
            <w:r>
              <w:rPr>
                <w:b/>
              </w:rPr>
              <w:t>Standard / Spec</w:t>
            </w:r>
          </w:p>
        </w:tc>
        <w:tc>
          <w:tcPr>
            <w:tcW w:w="3024" w:type="dxa"/>
          </w:tcPr>
          <w:p w14:paraId="43CF7134" w14:textId="77777777" w:rsidR="001C6F3E" w:rsidRDefault="00771E1C">
            <w:r>
              <w:rPr>
                <w:b/>
              </w:rPr>
              <w:t>Edition</w:t>
            </w:r>
          </w:p>
        </w:tc>
        <w:tc>
          <w:tcPr>
            <w:tcW w:w="3024" w:type="dxa"/>
          </w:tcPr>
          <w:p w14:paraId="0836ADFD" w14:textId="77777777" w:rsidR="001C6F3E" w:rsidRDefault="00771E1C">
            <w:r>
              <w:rPr>
                <w:b/>
              </w:rPr>
              <w:t>Applies to</w:t>
            </w:r>
          </w:p>
        </w:tc>
      </w:tr>
      <w:tr w:rsidR="001C6F3E" w14:paraId="46A4C1CE" w14:textId="77777777">
        <w:trPr>
          <w:cantSplit/>
        </w:trPr>
        <w:tc>
          <w:tcPr>
            <w:tcW w:w="3024" w:type="dxa"/>
          </w:tcPr>
          <w:p w14:paraId="61C1792A" w14:textId="77777777" w:rsidR="00E17A77" w:rsidRDefault="0033624F">
            <w:r>
              <w:t>AS IEC 61882:2017 (adopts IEC 61882:2016)</w:t>
            </w:r>
          </w:p>
        </w:tc>
        <w:tc>
          <w:tcPr>
            <w:tcW w:w="3024" w:type="dxa"/>
          </w:tcPr>
          <w:p w14:paraId="5652221D" w14:textId="77777777" w:rsidR="00E17A77" w:rsidRDefault="0033624F">
            <w:r>
              <w:t>2017</w:t>
            </w:r>
          </w:p>
        </w:tc>
        <w:tc>
          <w:tcPr>
            <w:tcW w:w="3024" w:type="dxa"/>
          </w:tcPr>
          <w:p w14:paraId="27F394EB" w14:textId="77777777" w:rsidR="00E17A77" w:rsidRDefault="0033624F">
            <w:r>
              <w:t>HAZOP/PHA workshop approach and reporting</w:t>
            </w:r>
          </w:p>
        </w:tc>
      </w:tr>
      <w:tr w:rsidR="001C6F3E" w14:paraId="3BB53537" w14:textId="77777777">
        <w:trPr>
          <w:cantSplit/>
        </w:trPr>
        <w:tc>
          <w:tcPr>
            <w:tcW w:w="3024" w:type="dxa"/>
          </w:tcPr>
          <w:p w14:paraId="39ABCBC9" w14:textId="77777777" w:rsidR="00E17A77" w:rsidRDefault="0033624F">
            <w:r>
              <w:t>IEC 61511 (Ed. 2.0; 2016 + A1:2017)</w:t>
            </w:r>
          </w:p>
        </w:tc>
        <w:tc>
          <w:tcPr>
            <w:tcW w:w="3024" w:type="dxa"/>
          </w:tcPr>
          <w:p w14:paraId="0EB5B098" w14:textId="77777777" w:rsidR="00E17A77" w:rsidRDefault="0033624F">
            <w:r>
              <w:t>2016/2017</w:t>
            </w:r>
          </w:p>
        </w:tc>
        <w:tc>
          <w:tcPr>
            <w:tcW w:w="3024" w:type="dxa"/>
          </w:tcPr>
          <w:p w14:paraId="6B447123" w14:textId="77777777" w:rsidR="00E17A77" w:rsidRDefault="0033624F">
            <w:r>
              <w:t>Functional safety – SIS lifecycle concepts; SIL studies and verification support</w:t>
            </w:r>
          </w:p>
        </w:tc>
      </w:tr>
      <w:tr w:rsidR="001C6F3E" w14:paraId="7363EDBF" w14:textId="77777777">
        <w:trPr>
          <w:cantSplit/>
        </w:trPr>
        <w:tc>
          <w:tcPr>
            <w:tcW w:w="3024" w:type="dxa"/>
          </w:tcPr>
          <w:p w14:paraId="31C74F3B" w14:textId="77777777" w:rsidR="00E17A77" w:rsidRDefault="0033624F">
            <w:r>
              <w:t>ISO 31000</w:t>
            </w:r>
          </w:p>
        </w:tc>
        <w:tc>
          <w:tcPr>
            <w:tcW w:w="3024" w:type="dxa"/>
          </w:tcPr>
          <w:p w14:paraId="46375284" w14:textId="77777777" w:rsidR="00E17A77" w:rsidRDefault="0033624F">
            <w:r>
              <w:t>2018</w:t>
            </w:r>
          </w:p>
        </w:tc>
        <w:tc>
          <w:tcPr>
            <w:tcW w:w="3024" w:type="dxa"/>
          </w:tcPr>
          <w:p w14:paraId="536561C0" w14:textId="77777777" w:rsidR="00E17A77" w:rsidRDefault="0033624F">
            <w:r>
              <w:t>Risk management framework (risk criteria, decision making)</w:t>
            </w:r>
          </w:p>
        </w:tc>
      </w:tr>
      <w:tr w:rsidR="001C6F3E" w14:paraId="6523385D" w14:textId="77777777">
        <w:trPr>
          <w:cantSplit/>
        </w:trPr>
        <w:tc>
          <w:tcPr>
            <w:tcW w:w="3024" w:type="dxa"/>
          </w:tcPr>
          <w:p w14:paraId="5BA4A0E9" w14:textId="77777777" w:rsidR="00E17A77" w:rsidRDefault="0033624F">
            <w:r>
              <w:t>NOPSEMA safety case regime (OPGGS(S) Regulations and guidance)</w:t>
            </w:r>
          </w:p>
        </w:tc>
        <w:tc>
          <w:tcPr>
            <w:tcW w:w="3024" w:type="dxa"/>
          </w:tcPr>
          <w:p w14:paraId="55BDF378" w14:textId="77777777" w:rsidR="00E17A77" w:rsidRDefault="0033624F">
            <w:r>
              <w:t>Current</w:t>
            </w:r>
          </w:p>
        </w:tc>
        <w:tc>
          <w:tcPr>
            <w:tcW w:w="3024" w:type="dxa"/>
          </w:tcPr>
          <w:p w14:paraId="733220DA" w14:textId="77777777" w:rsidR="00E17A77" w:rsidRDefault="0033624F">
            <w:r>
              <w:t>Offshore safety case support (where applicable)</w:t>
            </w:r>
          </w:p>
        </w:tc>
      </w:tr>
      <w:tr w:rsidR="00E17A77" w14:paraId="04F18774" w14:textId="77777777">
        <w:tc>
          <w:tcPr>
            <w:tcW w:w="3024" w:type="dxa"/>
          </w:tcPr>
          <w:p w14:paraId="13363AA7" w14:textId="77777777" w:rsidR="00E17A77" w:rsidRDefault="0033624F">
            <w:r>
              <w:t>Work Health and Safety Act 2020 (WA) and WHS (Mines) Regulations 2022</w:t>
            </w:r>
          </w:p>
        </w:tc>
        <w:tc>
          <w:tcPr>
            <w:tcW w:w="3024" w:type="dxa"/>
          </w:tcPr>
          <w:p w14:paraId="2274DD9B" w14:textId="77777777" w:rsidR="00E17A77" w:rsidRDefault="0033624F">
            <w:r>
              <w:t>Current</w:t>
            </w:r>
          </w:p>
        </w:tc>
        <w:tc>
          <w:tcPr>
            <w:tcW w:w="3024" w:type="dxa"/>
          </w:tcPr>
          <w:p w14:paraId="78663AFA" w14:textId="77777777" w:rsidR="00E17A77" w:rsidRDefault="0033624F">
            <w:r>
              <w:t>WHS expectations for resources clients and contractor interfaces (where applicable)</w:t>
            </w:r>
          </w:p>
        </w:tc>
      </w:tr>
    </w:tbl>
    <w:p w14:paraId="40E61FB8" w14:textId="77777777" w:rsidR="001C6F3E" w:rsidRDefault="00771E1C">
      <w:pPr>
        <w:pStyle w:val="Heading2"/>
      </w:pPr>
      <w:bookmarkStart w:id="13" w:name="_Toc222905298"/>
      <w:r>
        <w:t>2.3 Key Assumptions</w:t>
      </w:r>
      <w:bookmarkEnd w:id="13"/>
    </w:p>
    <w:tbl>
      <w:tblPr>
        <w:tblStyle w:val="TableGrid"/>
        <w:tblW w:w="0" w:type="auto"/>
        <w:tblLayout w:type="fixed"/>
        <w:tblLook w:val="04A0" w:firstRow="1" w:lastRow="0" w:firstColumn="1" w:lastColumn="0" w:noHBand="0" w:noVBand="1"/>
      </w:tblPr>
      <w:tblGrid>
        <w:gridCol w:w="4536"/>
        <w:gridCol w:w="4536"/>
      </w:tblGrid>
      <w:tr w:rsidR="001C6F3E" w14:paraId="06CD8C42" w14:textId="77777777">
        <w:trPr>
          <w:cantSplit/>
        </w:trPr>
        <w:tc>
          <w:tcPr>
            <w:tcW w:w="4536" w:type="dxa"/>
          </w:tcPr>
          <w:p w14:paraId="575BA09F" w14:textId="77777777" w:rsidR="001C6F3E" w:rsidRDefault="00771E1C">
            <w:r>
              <w:rPr>
                <w:b/>
              </w:rPr>
              <w:t>Assumption</w:t>
            </w:r>
          </w:p>
        </w:tc>
        <w:tc>
          <w:tcPr>
            <w:tcW w:w="4536" w:type="dxa"/>
          </w:tcPr>
          <w:p w14:paraId="712DD83D" w14:textId="77777777" w:rsidR="001C6F3E" w:rsidRDefault="00771E1C">
            <w:r>
              <w:rPr>
                <w:b/>
              </w:rPr>
              <w:t>Rationale / Source</w:t>
            </w:r>
          </w:p>
        </w:tc>
      </w:tr>
      <w:tr w:rsidR="001C6F3E" w14:paraId="11E995D3" w14:textId="77777777">
        <w:trPr>
          <w:cantSplit/>
        </w:trPr>
        <w:tc>
          <w:tcPr>
            <w:tcW w:w="4536" w:type="dxa"/>
          </w:tcPr>
          <w:p w14:paraId="168A6944" w14:textId="77777777" w:rsidR="00E17A77" w:rsidRDefault="0033624F">
            <w:r>
              <w:t>EIE delivery is office-based by default.</w:t>
            </w:r>
          </w:p>
        </w:tc>
        <w:tc>
          <w:tcPr>
            <w:tcW w:w="4536" w:type="dxa"/>
          </w:tcPr>
          <w:p w14:paraId="56F50C66" w14:textId="77777777" w:rsidR="00E17A77" w:rsidRDefault="0033624F">
            <w:r>
              <w:t>Site visits, inspections and field verification are excluded unless expressly agreed.</w:t>
            </w:r>
          </w:p>
        </w:tc>
      </w:tr>
      <w:tr w:rsidR="001C6F3E" w14:paraId="5ED67C1E" w14:textId="77777777">
        <w:trPr>
          <w:cantSplit/>
        </w:trPr>
        <w:tc>
          <w:tcPr>
            <w:tcW w:w="4536" w:type="dxa"/>
          </w:tcPr>
          <w:p w14:paraId="4925814A" w14:textId="77777777" w:rsidR="00E17A77" w:rsidRDefault="0033624F">
            <w:r>
              <w:t>EIE deliverables are advisory and report-based.</w:t>
            </w:r>
          </w:p>
        </w:tc>
        <w:tc>
          <w:tcPr>
            <w:tcW w:w="4536" w:type="dxa"/>
          </w:tcPr>
          <w:p w14:paraId="3EDDD238" w14:textId="77777777" w:rsidR="00E17A77" w:rsidRDefault="0033624F">
            <w:r>
              <w:t>No detailed design, drawing sign-off, certification or operator responsibilities unless agreed.</w:t>
            </w:r>
          </w:p>
        </w:tc>
      </w:tr>
      <w:tr w:rsidR="001C6F3E" w14:paraId="2A812BE0" w14:textId="77777777">
        <w:trPr>
          <w:cantSplit/>
        </w:trPr>
        <w:tc>
          <w:tcPr>
            <w:tcW w:w="4536" w:type="dxa"/>
          </w:tcPr>
          <w:p w14:paraId="65647991" w14:textId="77777777" w:rsidR="00E17A77" w:rsidRDefault="0033624F">
            <w:r>
              <w:t>Client provides timely access to current information and relevant SMEs.</w:t>
            </w:r>
          </w:p>
        </w:tc>
        <w:tc>
          <w:tcPr>
            <w:tcW w:w="4536" w:type="dxa"/>
          </w:tcPr>
          <w:p w14:paraId="5A989461" w14:textId="77777777" w:rsidR="00E17A77" w:rsidRDefault="0033624F">
            <w:r>
              <w:t>Quality of conclusions depends on data completeness and stakeholder input.</w:t>
            </w:r>
          </w:p>
        </w:tc>
      </w:tr>
      <w:tr w:rsidR="001C6F3E" w14:paraId="09CAABF9" w14:textId="77777777">
        <w:trPr>
          <w:cantSplit/>
        </w:trPr>
        <w:tc>
          <w:tcPr>
            <w:tcW w:w="4536" w:type="dxa"/>
          </w:tcPr>
          <w:p w14:paraId="387CF3A9" w14:textId="77777777" w:rsidR="00E17A77" w:rsidRDefault="0033624F">
            <w:r>
              <w:lastRenderedPageBreak/>
              <w:t>Confidentiality and data handling requirements are agreed at kickoff.</w:t>
            </w:r>
          </w:p>
        </w:tc>
        <w:tc>
          <w:tcPr>
            <w:tcW w:w="4536" w:type="dxa"/>
          </w:tcPr>
          <w:p w14:paraId="2C9C7895" w14:textId="77777777" w:rsidR="00E17A77" w:rsidRDefault="0033624F">
            <w:r>
              <w:t>NDA/contract terms define permitted use, storage and sharing of client information.</w:t>
            </w:r>
          </w:p>
        </w:tc>
      </w:tr>
    </w:tbl>
    <w:p w14:paraId="3F3419A4" w14:textId="77777777" w:rsidR="001C6F3E" w:rsidRDefault="00771E1C">
      <w:pPr>
        <w:pStyle w:val="Heading1"/>
      </w:pPr>
      <w:r>
        <w:t>3. Delivery Approach</w:t>
      </w:r>
    </w:p>
    <w:p w14:paraId="4CC88C88" w14:textId="77777777" w:rsidR="001C6F3E" w:rsidRDefault="00771E1C">
      <w:pPr>
        <w:pStyle w:val="Heading2"/>
      </w:pPr>
      <w:bookmarkStart w:id="14" w:name="_Toc222905300"/>
      <w:r>
        <w:t>3.1 Data Sources</w:t>
      </w:r>
      <w:bookmarkEnd w:id="14"/>
    </w:p>
    <w:p w14:paraId="44C42315" w14:textId="77777777" w:rsidR="001C6F3E" w:rsidRDefault="00771E1C">
      <w:pPr>
        <w:spacing w:after="160"/>
      </w:pPr>
      <w:r>
        <w:t>Client-supplied process and safety documentation (e.g., PFDs/P&amp;IDs where available, narratives, previous studies), interviews with discipline SMEs, workshop records and action registers, modelling inputs/assumptions agreed with the client, and applicable standards and guidance documents.</w:t>
      </w:r>
    </w:p>
    <w:p w14:paraId="3382C920" w14:textId="77777777" w:rsidR="001C6F3E" w:rsidRDefault="00771E1C">
      <w:pPr>
        <w:pStyle w:val="Heading2"/>
      </w:pPr>
      <w:bookmarkStart w:id="15" w:name="_Toc222905301"/>
      <w:r>
        <w:t>3.2 Approach</w:t>
      </w:r>
      <w:bookmarkEnd w:id="15"/>
    </w:p>
    <w:p w14:paraId="3B6AAB10" w14:textId="77777777" w:rsidR="001C6F3E" w:rsidRDefault="00771E1C">
      <w:pPr>
        <w:spacing w:after="160"/>
      </w:pPr>
      <w:r>
        <w:t>A structured delivery lifecycle is applied: (1) confirm decision context and scope boundaries; (2) establish data set and assumptions; (3) facilitate workshops and/or undertake analysis/modelling; (4) develop a recommendation-focused report with traceability; (5) conduct client review and closeout with an action register. Variations are controlled via documented change requests.</w:t>
      </w:r>
    </w:p>
    <w:p w14:paraId="063167DF" w14:textId="77777777" w:rsidR="001C6F3E" w:rsidRDefault="00771E1C">
      <w:pPr>
        <w:pStyle w:val="Heading2"/>
      </w:pPr>
      <w:bookmarkStart w:id="16" w:name="_Toc222905302"/>
      <w:r>
        <w:t>3.3 Limitations</w:t>
      </w:r>
      <w:bookmarkEnd w:id="16"/>
    </w:p>
    <w:p w14:paraId="306A8E6F" w14:textId="77777777" w:rsidR="001C6F3E" w:rsidRDefault="00771E1C">
      <w:pPr>
        <w:spacing w:after="160"/>
      </w:pPr>
      <w:r>
        <w:t>Outputs are dependent on the quality and completeness of client-provided information and the availability of subject matter experts. EIE’s deliverables are advisory and report-based unless otherwise agreed; conclusions are framed within documented assumptions and limitations.</w:t>
      </w:r>
    </w:p>
    <w:p w14:paraId="02E7098D" w14:textId="77777777" w:rsidR="001C6F3E" w:rsidRDefault="00771E1C">
      <w:pPr>
        <w:pStyle w:val="Heading1"/>
      </w:pPr>
      <w:r>
        <w:t>4. Capabilities and Services</w:t>
      </w:r>
    </w:p>
    <w:p w14:paraId="746615CD" w14:textId="77777777" w:rsidR="001C6F3E" w:rsidRDefault="00771E1C">
      <w:pPr>
        <w:pStyle w:val="Heading2"/>
      </w:pPr>
      <w:r>
        <w:t>4.1 Service Offerings Overview</w:t>
      </w:r>
    </w:p>
    <w:p w14:paraId="0B5F406E" w14:textId="77777777" w:rsidR="001C6F3E" w:rsidRDefault="00771E1C">
      <w:pPr>
        <w:spacing w:after="160"/>
      </w:pPr>
      <w:r>
        <w:t>EIE provides specialist services across process safety, risk engineering, training and AI-enabled efficiency improvements:</w:t>
      </w:r>
    </w:p>
    <w:p w14:paraId="6037762E" w14:textId="77777777" w:rsidR="00E17A77" w:rsidRDefault="0033624F">
      <w:pPr>
        <w:pStyle w:val="ListBullet"/>
      </w:pPr>
      <w:r>
        <w:t>Process safety consulting and facilitation (PHA/HAZID/HAZOP, LOPA, bowties/barriers, SCE performance, FSA support, safety case support inputs).</w:t>
      </w:r>
    </w:p>
    <w:p w14:paraId="4ABDA1B8" w14:textId="77777777" w:rsidR="00E17A77" w:rsidRDefault="0033624F">
      <w:pPr>
        <w:pStyle w:val="ListBullet"/>
      </w:pPr>
      <w:r>
        <w:t>Process safety reports (gap assessments, PSM/SMS reviews, methodology development, FSA report support, decommissioning planning support).</w:t>
      </w:r>
    </w:p>
    <w:p w14:paraId="67F1F5F8" w14:textId="77777777" w:rsidR="00E17A77" w:rsidRDefault="0033624F">
      <w:pPr>
        <w:pStyle w:val="ListBullet"/>
      </w:pPr>
      <w:r>
        <w:t>Consequence and risk modelling support (QRA inputs, fire/explosion and risk driver studies to support ALARP decisions).</w:t>
      </w:r>
    </w:p>
    <w:p w14:paraId="48761B09" w14:textId="77777777" w:rsidR="00E17A77" w:rsidRDefault="0033624F">
      <w:pPr>
        <w:pStyle w:val="ListBullet"/>
      </w:pPr>
      <w:r>
        <w:t>Training (process safety, functional safety awareness, workshop effectiveness, and broader STEM/business topics).</w:t>
      </w:r>
    </w:p>
    <w:p w14:paraId="75F81058" w14:textId="77777777" w:rsidR="00E17A77" w:rsidRDefault="0033624F">
      <w:pPr>
        <w:pStyle w:val="ListBullet"/>
      </w:pPr>
      <w:r>
        <w:t>AI and efficiency consulting (workflow automation, knowledge management, analytics and decision support).</w:t>
      </w:r>
    </w:p>
    <w:p w14:paraId="4897E546" w14:textId="77777777" w:rsidR="00E17A77" w:rsidRDefault="0033624F">
      <w:r>
        <w:t>Publishing division (books and music publishing) is noted in Appendix D.</w:t>
      </w:r>
    </w:p>
    <w:p w14:paraId="06437817" w14:textId="77777777" w:rsidR="001C6F3E" w:rsidRDefault="00771E1C">
      <w:pPr>
        <w:pStyle w:val="Heading2"/>
      </w:pPr>
      <w:r>
        <w:t>4.2 Service Catalogue (Scope, Inputs, Outputs, Timeline)</w:t>
      </w:r>
    </w:p>
    <w:p w14:paraId="6562ACAC" w14:textId="77777777" w:rsidR="001C6F3E" w:rsidRDefault="00771E1C">
      <w:pPr>
        <w:spacing w:after="160"/>
      </w:pPr>
      <w:r>
        <w:t>Detailed service catalogue is provided below. Each offering defines scope, required inputs, outputs, typical timeline, assumptions, exclusions and change control.</w:t>
      </w:r>
    </w:p>
    <w:p w14:paraId="158723AB" w14:textId="77777777" w:rsidR="00E17A77" w:rsidRDefault="0033624F">
      <w:pPr>
        <w:pStyle w:val="Heading3"/>
      </w:pPr>
      <w:r>
        <w:lastRenderedPageBreak/>
        <w:t>1. Process Safety Consulting and Facilitation</w:t>
      </w:r>
    </w:p>
    <w:tbl>
      <w:tblPr>
        <w:tblStyle w:val="TableGrid"/>
        <w:tblW w:w="0" w:type="auto"/>
        <w:tblLook w:val="04A0" w:firstRow="1" w:lastRow="0" w:firstColumn="1" w:lastColumn="0" w:noHBand="0" w:noVBand="1"/>
      </w:tblPr>
      <w:tblGrid>
        <w:gridCol w:w="2115"/>
        <w:gridCol w:w="6947"/>
      </w:tblGrid>
      <w:tr w:rsidR="00E17A77" w14:paraId="4F91552B" w14:textId="77777777">
        <w:tc>
          <w:tcPr>
            <w:tcW w:w="2304" w:type="dxa"/>
          </w:tcPr>
          <w:p w14:paraId="7C702126" w14:textId="77777777" w:rsidR="00E17A77" w:rsidRDefault="0033624F">
            <w:r>
              <w:t>Scope</w:t>
            </w:r>
          </w:p>
        </w:tc>
        <w:tc>
          <w:tcPr>
            <w:tcW w:w="8208" w:type="dxa"/>
          </w:tcPr>
          <w:p w14:paraId="74B49A53" w14:textId="77777777" w:rsidR="00E17A77" w:rsidRDefault="0033624F">
            <w:r>
              <w:t>PHA/HAZID/HAZOP support and facilitation; LOPA support; bowties and barrier management; safety critical elements (SCE) criticality and performance thinking; functional safety assessment (FSA) support; consequence modelling and QRA inputs; safety case development support (inputs, studies and governance packs).</w:t>
            </w:r>
          </w:p>
        </w:tc>
      </w:tr>
      <w:tr w:rsidR="00E17A77" w14:paraId="77AB8594" w14:textId="77777777">
        <w:tc>
          <w:tcPr>
            <w:tcW w:w="2304" w:type="dxa"/>
          </w:tcPr>
          <w:p w14:paraId="157D2592" w14:textId="77777777" w:rsidR="00E17A77" w:rsidRDefault="0033624F">
            <w:r>
              <w:t>Inputs needed</w:t>
            </w:r>
          </w:p>
        </w:tc>
        <w:tc>
          <w:tcPr>
            <w:tcW w:w="8208" w:type="dxa"/>
          </w:tcPr>
          <w:p w14:paraId="7D17086F" w14:textId="77777777" w:rsidR="00E17A77" w:rsidRDefault="0033624F">
            <w:r>
              <w:t>Terms of reference and scope boundaries; risk criteria; process documentation (process descriptions, PFDs/P&amp;IDs where available, narratives); existing studies and action registers; participant list and availability; client standards and templates.</w:t>
            </w:r>
          </w:p>
        </w:tc>
      </w:tr>
      <w:tr w:rsidR="00E17A77" w14:paraId="46A2049E" w14:textId="77777777">
        <w:tc>
          <w:tcPr>
            <w:tcW w:w="2304" w:type="dxa"/>
          </w:tcPr>
          <w:p w14:paraId="0A307754" w14:textId="77777777" w:rsidR="00E17A77" w:rsidRDefault="0033624F">
            <w:r>
              <w:t>Outputs</w:t>
            </w:r>
          </w:p>
        </w:tc>
        <w:tc>
          <w:tcPr>
            <w:tcW w:w="8208" w:type="dxa"/>
          </w:tcPr>
          <w:p w14:paraId="005E8F09" w14:textId="77777777" w:rsidR="00E17A77" w:rsidRDefault="0033624F">
            <w:r>
              <w:t>Workshop preparation pack and schedule; facilitated sessions; decision log and action register; recommendation-focused workshop report suitable for governance review.</w:t>
            </w:r>
          </w:p>
        </w:tc>
      </w:tr>
      <w:tr w:rsidR="00E17A77" w14:paraId="5E19B6AE" w14:textId="77777777">
        <w:tc>
          <w:tcPr>
            <w:tcW w:w="2304" w:type="dxa"/>
          </w:tcPr>
          <w:p w14:paraId="5097EBA7" w14:textId="77777777" w:rsidR="00E17A77" w:rsidRDefault="0033624F">
            <w:r>
              <w:t>Typical timeline</w:t>
            </w:r>
          </w:p>
        </w:tc>
        <w:tc>
          <w:tcPr>
            <w:tcW w:w="8208" w:type="dxa"/>
          </w:tcPr>
          <w:p w14:paraId="6F384E1E" w14:textId="77777777" w:rsidR="00E17A77" w:rsidRDefault="0033624F">
            <w:r>
              <w:t>Preparation 3–10 business days (data dependent); workshops 1 day to multi-week programs; reporting 5–15 business days post-workshop.</w:t>
            </w:r>
          </w:p>
        </w:tc>
      </w:tr>
      <w:tr w:rsidR="00E17A77" w14:paraId="6AD7ECAC" w14:textId="77777777">
        <w:tc>
          <w:tcPr>
            <w:tcW w:w="2304" w:type="dxa"/>
          </w:tcPr>
          <w:p w14:paraId="1B820CB3" w14:textId="77777777" w:rsidR="00E17A77" w:rsidRDefault="0033624F">
            <w:r>
              <w:t>Assumptions</w:t>
            </w:r>
          </w:p>
        </w:tc>
        <w:tc>
          <w:tcPr>
            <w:tcW w:w="8208" w:type="dxa"/>
          </w:tcPr>
          <w:p w14:paraId="672E008C" w14:textId="77777777" w:rsidR="00E17A77" w:rsidRDefault="0033624F">
            <w:r>
              <w:t>Client provides relevant SMEs and current documentation; workshop scope and risk criteria are confirmed before delivery.</w:t>
            </w:r>
          </w:p>
        </w:tc>
      </w:tr>
      <w:tr w:rsidR="00E17A77" w14:paraId="5D833BCC" w14:textId="77777777">
        <w:tc>
          <w:tcPr>
            <w:tcW w:w="2304" w:type="dxa"/>
          </w:tcPr>
          <w:p w14:paraId="789F7F50" w14:textId="77777777" w:rsidR="00E17A77" w:rsidRDefault="0033624F">
            <w:r>
              <w:t>Exclusions (unless agreed)</w:t>
            </w:r>
          </w:p>
        </w:tc>
        <w:tc>
          <w:tcPr>
            <w:tcW w:w="8208" w:type="dxa"/>
          </w:tcPr>
          <w:p w14:paraId="19E41195" w14:textId="77777777" w:rsidR="00E17A77" w:rsidRDefault="0033624F">
            <w:r>
              <w:t>Design authority role, drawing sign-off/certification, field verification and operator responsibilities.</w:t>
            </w:r>
          </w:p>
        </w:tc>
      </w:tr>
      <w:tr w:rsidR="00E17A77" w14:paraId="07356E19" w14:textId="77777777">
        <w:tc>
          <w:tcPr>
            <w:tcW w:w="2304" w:type="dxa"/>
          </w:tcPr>
          <w:p w14:paraId="0E99E392" w14:textId="77777777" w:rsidR="00E17A77" w:rsidRDefault="0033624F">
            <w:r>
              <w:t>Change handling</w:t>
            </w:r>
          </w:p>
        </w:tc>
        <w:tc>
          <w:tcPr>
            <w:tcW w:w="8208" w:type="dxa"/>
          </w:tcPr>
          <w:p w14:paraId="40BBFF14" w14:textId="77777777" w:rsidR="00E17A77" w:rsidRDefault="0033624F">
            <w:r>
              <w:t>Changes are managed via documented change requests/variations (scope change → impact on schedule/cost → written approval).</w:t>
            </w:r>
          </w:p>
        </w:tc>
      </w:tr>
    </w:tbl>
    <w:p w14:paraId="27CD61AB" w14:textId="77777777" w:rsidR="00E17A77" w:rsidRDefault="00E17A77"/>
    <w:p w14:paraId="0D289386" w14:textId="77777777" w:rsidR="00E17A77" w:rsidRDefault="0033624F">
      <w:pPr>
        <w:pStyle w:val="Heading3"/>
      </w:pPr>
      <w:r>
        <w:t>2. Process Safety Reports and Safety Case Support</w:t>
      </w:r>
    </w:p>
    <w:tbl>
      <w:tblPr>
        <w:tblStyle w:val="TableGrid"/>
        <w:tblW w:w="0" w:type="auto"/>
        <w:tblLook w:val="04A0" w:firstRow="1" w:lastRow="0" w:firstColumn="1" w:lastColumn="0" w:noHBand="0" w:noVBand="1"/>
      </w:tblPr>
      <w:tblGrid>
        <w:gridCol w:w="2106"/>
        <w:gridCol w:w="6956"/>
      </w:tblGrid>
      <w:tr w:rsidR="00E17A77" w14:paraId="23AACE80" w14:textId="77777777">
        <w:tc>
          <w:tcPr>
            <w:tcW w:w="2304" w:type="dxa"/>
          </w:tcPr>
          <w:p w14:paraId="68B02A35" w14:textId="77777777" w:rsidR="00E17A77" w:rsidRDefault="0033624F">
            <w:r>
              <w:t>Scope</w:t>
            </w:r>
          </w:p>
        </w:tc>
        <w:tc>
          <w:tcPr>
            <w:tcW w:w="8208" w:type="dxa"/>
          </w:tcPr>
          <w:p w14:paraId="49502BBD" w14:textId="77777777" w:rsidR="00E17A77" w:rsidRDefault="0033624F">
            <w:r>
              <w:t>Process safety gap assessments; safety management system (PSM/SMS) reviews; PHA/HAZOP/LOPA report development; development of HAZOP/PHA/LOPA and risk workshop methodologies; FSA report support; safety case support; decommissioning plan development support.</w:t>
            </w:r>
          </w:p>
        </w:tc>
      </w:tr>
      <w:tr w:rsidR="00E17A77" w14:paraId="35EBBD36" w14:textId="77777777">
        <w:tc>
          <w:tcPr>
            <w:tcW w:w="2304" w:type="dxa"/>
          </w:tcPr>
          <w:p w14:paraId="6AC0B9FF" w14:textId="77777777" w:rsidR="00E17A77" w:rsidRDefault="0033624F">
            <w:r>
              <w:t>Inputs needed</w:t>
            </w:r>
          </w:p>
        </w:tc>
        <w:tc>
          <w:tcPr>
            <w:tcW w:w="8208" w:type="dxa"/>
          </w:tcPr>
          <w:p w14:paraId="7EAC5FFF" w14:textId="77777777" w:rsidR="00E17A77" w:rsidRDefault="0033624F">
            <w:r>
              <w:t>Client policies/standards; risk acceptance criteria; existing studies and audits; facility/process descriptions; hazards registers; barrier/SCE information; stakeholder interview schedule.</w:t>
            </w:r>
          </w:p>
        </w:tc>
      </w:tr>
      <w:tr w:rsidR="00E17A77" w14:paraId="6196EDEC" w14:textId="77777777">
        <w:tc>
          <w:tcPr>
            <w:tcW w:w="2304" w:type="dxa"/>
          </w:tcPr>
          <w:p w14:paraId="2FC698F5" w14:textId="77777777" w:rsidR="00E17A77" w:rsidRDefault="0033624F">
            <w:r>
              <w:t>Outputs</w:t>
            </w:r>
          </w:p>
        </w:tc>
        <w:tc>
          <w:tcPr>
            <w:tcW w:w="8208" w:type="dxa"/>
          </w:tcPr>
          <w:p w14:paraId="70E6CEC2" w14:textId="77777777" w:rsidR="00E17A77" w:rsidRDefault="0033624F">
            <w:r>
              <w:t>Executive-summary report with prioritised recommendations and action register; evidence/traceability appendices; methodology packs (worksheets, prompts, governance notes) as agreed.</w:t>
            </w:r>
          </w:p>
        </w:tc>
      </w:tr>
      <w:tr w:rsidR="00E17A77" w14:paraId="68760F15" w14:textId="77777777">
        <w:tc>
          <w:tcPr>
            <w:tcW w:w="2304" w:type="dxa"/>
          </w:tcPr>
          <w:p w14:paraId="763263E7" w14:textId="77777777" w:rsidR="00E17A77" w:rsidRDefault="0033624F">
            <w:r>
              <w:t>Typical timeline</w:t>
            </w:r>
          </w:p>
        </w:tc>
        <w:tc>
          <w:tcPr>
            <w:tcW w:w="8208" w:type="dxa"/>
          </w:tcPr>
          <w:p w14:paraId="062F87B6" w14:textId="77777777" w:rsidR="00E17A77" w:rsidRDefault="0033624F">
            <w:r>
              <w:t>2–8 weeks depending on scope, data maturity and review cycles.</w:t>
            </w:r>
          </w:p>
        </w:tc>
      </w:tr>
      <w:tr w:rsidR="00E17A77" w14:paraId="4B15EEF5" w14:textId="77777777">
        <w:tc>
          <w:tcPr>
            <w:tcW w:w="2304" w:type="dxa"/>
          </w:tcPr>
          <w:p w14:paraId="142D7ACA" w14:textId="77777777" w:rsidR="00E17A77" w:rsidRDefault="0033624F">
            <w:r>
              <w:t>Assumptions</w:t>
            </w:r>
          </w:p>
        </w:tc>
        <w:tc>
          <w:tcPr>
            <w:tcW w:w="8208" w:type="dxa"/>
          </w:tcPr>
          <w:p w14:paraId="2FCC48E9" w14:textId="77777777" w:rsidR="00E17A77" w:rsidRDefault="0033624F">
            <w:r>
              <w:t>Decision-maker available for risk acceptance/ALARP conclusions and review sign-off.</w:t>
            </w:r>
          </w:p>
        </w:tc>
      </w:tr>
      <w:tr w:rsidR="00E17A77" w14:paraId="156610B7" w14:textId="77777777">
        <w:tc>
          <w:tcPr>
            <w:tcW w:w="2304" w:type="dxa"/>
          </w:tcPr>
          <w:p w14:paraId="237CFE74" w14:textId="77777777" w:rsidR="00E17A77" w:rsidRDefault="0033624F">
            <w:r>
              <w:t>Exclusions (unless agreed)</w:t>
            </w:r>
          </w:p>
        </w:tc>
        <w:tc>
          <w:tcPr>
            <w:tcW w:w="8208" w:type="dxa"/>
          </w:tcPr>
          <w:p w14:paraId="0D3A6CA1" w14:textId="77777777" w:rsidR="00E17A77" w:rsidRDefault="0033624F">
            <w:r>
              <w:t>Legal sign-off; regulator submission responsibility; independent certification/validation roles.</w:t>
            </w:r>
          </w:p>
        </w:tc>
      </w:tr>
      <w:tr w:rsidR="00E17A77" w14:paraId="5B34A573" w14:textId="77777777">
        <w:tc>
          <w:tcPr>
            <w:tcW w:w="2304" w:type="dxa"/>
          </w:tcPr>
          <w:p w14:paraId="079C071D" w14:textId="77777777" w:rsidR="00E17A77" w:rsidRDefault="0033624F">
            <w:r>
              <w:t>Change handling</w:t>
            </w:r>
          </w:p>
        </w:tc>
        <w:tc>
          <w:tcPr>
            <w:tcW w:w="8208" w:type="dxa"/>
          </w:tcPr>
          <w:p w14:paraId="07C993B8" w14:textId="77777777" w:rsidR="00E17A77" w:rsidRDefault="0033624F">
            <w:r>
              <w:t>Scope baseline locked at kickoff; expansions (additional facilities, new scenarios, extra evidence mapping) trigger variation.</w:t>
            </w:r>
          </w:p>
        </w:tc>
      </w:tr>
    </w:tbl>
    <w:p w14:paraId="0DBC220B" w14:textId="77777777" w:rsidR="00E17A77" w:rsidRDefault="00E17A77"/>
    <w:p w14:paraId="0572BDBE" w14:textId="77777777" w:rsidR="00E17A77" w:rsidRDefault="0033624F">
      <w:pPr>
        <w:pStyle w:val="Heading3"/>
      </w:pPr>
      <w:r>
        <w:lastRenderedPageBreak/>
        <w:t>3. Consequence and Risk Modelling (QRA / Fire and Explosion / Decision Support)</w:t>
      </w:r>
    </w:p>
    <w:tbl>
      <w:tblPr>
        <w:tblStyle w:val="TableGrid"/>
        <w:tblW w:w="0" w:type="auto"/>
        <w:tblLook w:val="04A0" w:firstRow="1" w:lastRow="0" w:firstColumn="1" w:lastColumn="0" w:noHBand="0" w:noVBand="1"/>
      </w:tblPr>
      <w:tblGrid>
        <w:gridCol w:w="2111"/>
        <w:gridCol w:w="6951"/>
      </w:tblGrid>
      <w:tr w:rsidR="00E17A77" w14:paraId="6A3330BD" w14:textId="77777777">
        <w:tc>
          <w:tcPr>
            <w:tcW w:w="2304" w:type="dxa"/>
          </w:tcPr>
          <w:p w14:paraId="1DE5C8EA" w14:textId="77777777" w:rsidR="00E17A77" w:rsidRDefault="0033624F">
            <w:r>
              <w:t>Scope</w:t>
            </w:r>
          </w:p>
        </w:tc>
        <w:tc>
          <w:tcPr>
            <w:tcW w:w="8208" w:type="dxa"/>
          </w:tcPr>
          <w:p w14:paraId="135976E7" w14:textId="77777777" w:rsidR="00E17A77" w:rsidRDefault="0033624F">
            <w:r>
              <w:t>Decision-focused consequence modelling and QRA inputs; fire and explosion modelling support; risk driver and sensitivity studies; reliability/availability modelling inputs where required for operational decisions.</w:t>
            </w:r>
          </w:p>
        </w:tc>
      </w:tr>
      <w:tr w:rsidR="00E17A77" w14:paraId="6DD0B438" w14:textId="77777777">
        <w:tc>
          <w:tcPr>
            <w:tcW w:w="2304" w:type="dxa"/>
          </w:tcPr>
          <w:p w14:paraId="48E1C509" w14:textId="77777777" w:rsidR="00E17A77" w:rsidRDefault="0033624F">
            <w:r>
              <w:t>Inputs needed</w:t>
            </w:r>
          </w:p>
        </w:tc>
        <w:tc>
          <w:tcPr>
            <w:tcW w:w="8208" w:type="dxa"/>
          </w:tcPr>
          <w:p w14:paraId="1850C636" w14:textId="77777777" w:rsidR="00E17A77" w:rsidRDefault="0033624F">
            <w:r>
              <w:t>Facility description and inventories; layout/occupancy where applicable; frequency basis agreed with client; escalation assumptions; modelling objectives and decision criteria.</w:t>
            </w:r>
          </w:p>
        </w:tc>
      </w:tr>
      <w:tr w:rsidR="00E17A77" w14:paraId="64461BD5" w14:textId="77777777">
        <w:tc>
          <w:tcPr>
            <w:tcW w:w="2304" w:type="dxa"/>
          </w:tcPr>
          <w:p w14:paraId="7A9EC7CB" w14:textId="77777777" w:rsidR="00E17A77" w:rsidRDefault="0033624F">
            <w:r>
              <w:t>Outputs</w:t>
            </w:r>
          </w:p>
        </w:tc>
        <w:tc>
          <w:tcPr>
            <w:tcW w:w="8208" w:type="dxa"/>
          </w:tcPr>
          <w:p w14:paraId="3863B5E6" w14:textId="77777777" w:rsidR="00E17A77" w:rsidRDefault="0033624F">
            <w:r>
              <w:t>Risk story and dominant contributors; documented modelling basis (assumptions, sensitivities, limitations); summary material suitable for ALARP and governance workshops.</w:t>
            </w:r>
          </w:p>
        </w:tc>
      </w:tr>
      <w:tr w:rsidR="00E17A77" w14:paraId="0EB8F933" w14:textId="77777777">
        <w:tc>
          <w:tcPr>
            <w:tcW w:w="2304" w:type="dxa"/>
          </w:tcPr>
          <w:p w14:paraId="70A6AE11" w14:textId="77777777" w:rsidR="00E17A77" w:rsidRDefault="0033624F">
            <w:r>
              <w:t>Typical timeline</w:t>
            </w:r>
          </w:p>
        </w:tc>
        <w:tc>
          <w:tcPr>
            <w:tcW w:w="8208" w:type="dxa"/>
          </w:tcPr>
          <w:p w14:paraId="4570AD66" w14:textId="77777777" w:rsidR="00E17A77" w:rsidRDefault="0033624F">
            <w:r>
              <w:t>2–10 weeks depending on data availability and modelling depth.</w:t>
            </w:r>
          </w:p>
        </w:tc>
      </w:tr>
      <w:tr w:rsidR="00E17A77" w14:paraId="0798C7C7" w14:textId="77777777">
        <w:tc>
          <w:tcPr>
            <w:tcW w:w="2304" w:type="dxa"/>
          </w:tcPr>
          <w:p w14:paraId="693CD684" w14:textId="77777777" w:rsidR="00E17A77" w:rsidRDefault="0033624F">
            <w:r>
              <w:t>Assumptions</w:t>
            </w:r>
          </w:p>
        </w:tc>
        <w:tc>
          <w:tcPr>
            <w:tcW w:w="8208" w:type="dxa"/>
          </w:tcPr>
          <w:p w14:paraId="5DFE809C" w14:textId="77777777" w:rsidR="00E17A77" w:rsidRDefault="0033624F">
            <w:r>
              <w:t>Objectives are defined for decision making (fit-for-purpose modelling) and data access is available.</w:t>
            </w:r>
          </w:p>
        </w:tc>
      </w:tr>
      <w:tr w:rsidR="00E17A77" w14:paraId="739BAC0C" w14:textId="77777777">
        <w:tc>
          <w:tcPr>
            <w:tcW w:w="2304" w:type="dxa"/>
          </w:tcPr>
          <w:p w14:paraId="0B34CE60" w14:textId="77777777" w:rsidR="00E17A77" w:rsidRDefault="0033624F">
            <w:r>
              <w:t>Exclusions (unless agreed)</w:t>
            </w:r>
          </w:p>
        </w:tc>
        <w:tc>
          <w:tcPr>
            <w:tcW w:w="8208" w:type="dxa"/>
          </w:tcPr>
          <w:p w14:paraId="03DDEB61" w14:textId="77777777" w:rsidR="00E17A77" w:rsidRDefault="0033624F">
            <w:r>
              <w:t>Comprehensive CFD campaigns, site verification, or acting as validator/certifier.</w:t>
            </w:r>
          </w:p>
        </w:tc>
      </w:tr>
      <w:tr w:rsidR="00E17A77" w14:paraId="64AF8A60" w14:textId="77777777">
        <w:tc>
          <w:tcPr>
            <w:tcW w:w="2304" w:type="dxa"/>
          </w:tcPr>
          <w:p w14:paraId="362430F6" w14:textId="77777777" w:rsidR="00E17A77" w:rsidRDefault="0033624F">
            <w:r>
              <w:t>Change handling</w:t>
            </w:r>
          </w:p>
        </w:tc>
        <w:tc>
          <w:tcPr>
            <w:tcW w:w="8208" w:type="dxa"/>
          </w:tcPr>
          <w:p w14:paraId="257716B9" w14:textId="77777777" w:rsidR="00E17A77" w:rsidRDefault="0033624F">
            <w:r>
              <w:t>Any change to modelling basis (inventories, layout, operating envelope) is re-baselined and managed through change control.</w:t>
            </w:r>
          </w:p>
        </w:tc>
      </w:tr>
    </w:tbl>
    <w:p w14:paraId="3D5C768B" w14:textId="77777777" w:rsidR="00E17A77" w:rsidRDefault="00E17A77"/>
    <w:p w14:paraId="1F3C7B07" w14:textId="77777777" w:rsidR="00E17A77" w:rsidRDefault="0033624F">
      <w:pPr>
        <w:pStyle w:val="Heading3"/>
      </w:pPr>
      <w:r>
        <w:t>4. Training and Education</w:t>
      </w:r>
    </w:p>
    <w:tbl>
      <w:tblPr>
        <w:tblStyle w:val="TableGrid"/>
        <w:tblW w:w="0" w:type="auto"/>
        <w:tblLook w:val="04A0" w:firstRow="1" w:lastRow="0" w:firstColumn="1" w:lastColumn="0" w:noHBand="0" w:noVBand="1"/>
      </w:tblPr>
      <w:tblGrid>
        <w:gridCol w:w="2120"/>
        <w:gridCol w:w="6942"/>
      </w:tblGrid>
      <w:tr w:rsidR="00E17A77" w14:paraId="7904CA96" w14:textId="77777777">
        <w:tc>
          <w:tcPr>
            <w:tcW w:w="2304" w:type="dxa"/>
          </w:tcPr>
          <w:p w14:paraId="6E488EC9" w14:textId="77777777" w:rsidR="00E17A77" w:rsidRDefault="0033624F">
            <w:r>
              <w:t>Scope</w:t>
            </w:r>
          </w:p>
        </w:tc>
        <w:tc>
          <w:tcPr>
            <w:tcW w:w="8208" w:type="dxa"/>
          </w:tcPr>
          <w:p w14:paraId="709AADA7" w14:textId="77777777" w:rsidR="00E17A77" w:rsidRDefault="0033624F">
            <w:r>
              <w:t>Process safety courses; workshop effectiveness; functional safety awareness (IEC 61511 concepts); incident learning; tailored engineering courses; general education courses around science, technology and business development.</w:t>
            </w:r>
          </w:p>
        </w:tc>
      </w:tr>
      <w:tr w:rsidR="00E17A77" w14:paraId="40992322" w14:textId="77777777">
        <w:tc>
          <w:tcPr>
            <w:tcW w:w="2304" w:type="dxa"/>
          </w:tcPr>
          <w:p w14:paraId="47DCE47D" w14:textId="77777777" w:rsidR="00E17A77" w:rsidRDefault="0033624F">
            <w:r>
              <w:t>Inputs needed</w:t>
            </w:r>
          </w:p>
        </w:tc>
        <w:tc>
          <w:tcPr>
            <w:tcW w:w="8208" w:type="dxa"/>
          </w:tcPr>
          <w:p w14:paraId="00365CF7" w14:textId="77777777" w:rsidR="00E17A77" w:rsidRDefault="0033624F">
            <w:r>
              <w:t>Audience profile and competence targets; preferred duration/format; site/client terminology and examples (sanitised); any internal procedures to align to.</w:t>
            </w:r>
          </w:p>
        </w:tc>
      </w:tr>
      <w:tr w:rsidR="00E17A77" w14:paraId="3C36EA9A" w14:textId="77777777">
        <w:tc>
          <w:tcPr>
            <w:tcW w:w="2304" w:type="dxa"/>
          </w:tcPr>
          <w:p w14:paraId="4DE59A0E" w14:textId="77777777" w:rsidR="00E17A77" w:rsidRDefault="0033624F">
            <w:r>
              <w:t>Outputs</w:t>
            </w:r>
          </w:p>
        </w:tc>
        <w:tc>
          <w:tcPr>
            <w:tcW w:w="8208" w:type="dxa"/>
          </w:tcPr>
          <w:p w14:paraId="7C53F6FB" w14:textId="77777777" w:rsidR="00E17A77" w:rsidRDefault="0033624F">
            <w:r>
              <w:t>Training slides and exercises; attendance records; optional assessments and post-course summary; training materials under controlled revision.</w:t>
            </w:r>
          </w:p>
        </w:tc>
      </w:tr>
      <w:tr w:rsidR="00E17A77" w14:paraId="59BEB901" w14:textId="77777777">
        <w:tc>
          <w:tcPr>
            <w:tcW w:w="2304" w:type="dxa"/>
          </w:tcPr>
          <w:p w14:paraId="21D2F3AF" w14:textId="77777777" w:rsidR="00E17A77" w:rsidRDefault="0033624F">
            <w:r>
              <w:t>Typical timeline</w:t>
            </w:r>
          </w:p>
        </w:tc>
        <w:tc>
          <w:tcPr>
            <w:tcW w:w="8208" w:type="dxa"/>
          </w:tcPr>
          <w:p w14:paraId="34DB3CF8" w14:textId="77777777" w:rsidR="00E17A77" w:rsidRDefault="0033624F">
            <w:r>
              <w:t>Design/refresh 2–6 weeks; delivery from 2-hour sessions to multi-day courses.</w:t>
            </w:r>
          </w:p>
        </w:tc>
      </w:tr>
      <w:tr w:rsidR="00E17A77" w14:paraId="4E1F2539" w14:textId="77777777">
        <w:tc>
          <w:tcPr>
            <w:tcW w:w="2304" w:type="dxa"/>
          </w:tcPr>
          <w:p w14:paraId="04CC3D13" w14:textId="77777777" w:rsidR="00E17A77" w:rsidRDefault="0033624F">
            <w:r>
              <w:t>Assumptions</w:t>
            </w:r>
          </w:p>
        </w:tc>
        <w:tc>
          <w:tcPr>
            <w:tcW w:w="8208" w:type="dxa"/>
          </w:tcPr>
          <w:p w14:paraId="2A4FAFFC" w14:textId="77777777" w:rsidR="00E17A77" w:rsidRDefault="0033624F">
            <w:r>
              <w:t>Client provides audience availability and any required site-specific content early.</w:t>
            </w:r>
          </w:p>
        </w:tc>
      </w:tr>
      <w:tr w:rsidR="00E17A77" w14:paraId="54C4D752" w14:textId="77777777">
        <w:tc>
          <w:tcPr>
            <w:tcW w:w="2304" w:type="dxa"/>
          </w:tcPr>
          <w:p w14:paraId="1BE3CAE9" w14:textId="77777777" w:rsidR="00E17A77" w:rsidRDefault="0033624F">
            <w:r>
              <w:t>Exclusions (unless agreed)</w:t>
            </w:r>
          </w:p>
        </w:tc>
        <w:tc>
          <w:tcPr>
            <w:tcW w:w="8208" w:type="dxa"/>
          </w:tcPr>
          <w:p w14:paraId="0CEBFFE6" w14:textId="77777777" w:rsidR="00E17A77" w:rsidRDefault="0033624F">
            <w:r>
              <w:t>RTO-accredited certification unless delivered with a partner RTO.</w:t>
            </w:r>
          </w:p>
        </w:tc>
      </w:tr>
      <w:tr w:rsidR="00E17A77" w14:paraId="088A5AE7" w14:textId="77777777">
        <w:tc>
          <w:tcPr>
            <w:tcW w:w="2304" w:type="dxa"/>
          </w:tcPr>
          <w:p w14:paraId="1E854A8B" w14:textId="77777777" w:rsidR="00E17A77" w:rsidRDefault="0033624F">
            <w:r>
              <w:t>Change handling</w:t>
            </w:r>
          </w:p>
        </w:tc>
        <w:tc>
          <w:tcPr>
            <w:tcW w:w="8208" w:type="dxa"/>
          </w:tcPr>
          <w:p w14:paraId="7A898398" w14:textId="77777777" w:rsidR="00E17A77" w:rsidRDefault="0033624F">
            <w:r>
              <w:t>Minor edits logged via course change log; major scope additions treated as variation.</w:t>
            </w:r>
          </w:p>
        </w:tc>
      </w:tr>
    </w:tbl>
    <w:p w14:paraId="3ECE0CFC" w14:textId="77777777" w:rsidR="00E17A77" w:rsidRDefault="00E17A77"/>
    <w:p w14:paraId="01D4FAD0" w14:textId="77777777" w:rsidR="00E17A77" w:rsidRDefault="0033624F">
      <w:pPr>
        <w:pStyle w:val="Heading3"/>
      </w:pPr>
      <w:r>
        <w:lastRenderedPageBreak/>
        <w:t>5. AI and Efficiency Consulting</w:t>
      </w:r>
    </w:p>
    <w:tbl>
      <w:tblPr>
        <w:tblStyle w:val="TableGrid"/>
        <w:tblW w:w="0" w:type="auto"/>
        <w:tblLook w:val="04A0" w:firstRow="1" w:lastRow="0" w:firstColumn="1" w:lastColumn="0" w:noHBand="0" w:noVBand="1"/>
      </w:tblPr>
      <w:tblGrid>
        <w:gridCol w:w="2106"/>
        <w:gridCol w:w="6956"/>
      </w:tblGrid>
      <w:tr w:rsidR="00E17A77" w14:paraId="316E7D64" w14:textId="77777777">
        <w:tc>
          <w:tcPr>
            <w:tcW w:w="2304" w:type="dxa"/>
          </w:tcPr>
          <w:p w14:paraId="62A6BA2D" w14:textId="77777777" w:rsidR="00E17A77" w:rsidRDefault="0033624F">
            <w:r>
              <w:t>Scope</w:t>
            </w:r>
          </w:p>
        </w:tc>
        <w:tc>
          <w:tcPr>
            <w:tcW w:w="8208" w:type="dxa"/>
          </w:tcPr>
          <w:p w14:paraId="31414E88" w14:textId="77777777" w:rsidR="00E17A77" w:rsidRDefault="0033624F">
            <w:r>
              <w:t>Workflow automation for studies and reporting; knowledge management for lessons learned and technical content; analytics and decision support; methodology/software prototyping (e.g., templates, trackers, dashboards) within client tool constraints.</w:t>
            </w:r>
          </w:p>
        </w:tc>
      </w:tr>
      <w:tr w:rsidR="00E17A77" w14:paraId="6FBD4418" w14:textId="77777777">
        <w:tc>
          <w:tcPr>
            <w:tcW w:w="2304" w:type="dxa"/>
          </w:tcPr>
          <w:p w14:paraId="76CD31D4" w14:textId="77777777" w:rsidR="00E17A77" w:rsidRDefault="0033624F">
            <w:r>
              <w:t>Inputs needed</w:t>
            </w:r>
          </w:p>
        </w:tc>
        <w:tc>
          <w:tcPr>
            <w:tcW w:w="8208" w:type="dxa"/>
          </w:tcPr>
          <w:p w14:paraId="38FD7D50" w14:textId="77777777" w:rsidR="00E17A77" w:rsidRDefault="0033624F">
            <w:r>
              <w:t>Current process maps; sample deliverables; IT and security constraints (e.g., M365 environment); data access rules and approvals.</w:t>
            </w:r>
          </w:p>
        </w:tc>
      </w:tr>
      <w:tr w:rsidR="00E17A77" w14:paraId="16E83E36" w14:textId="77777777">
        <w:tc>
          <w:tcPr>
            <w:tcW w:w="2304" w:type="dxa"/>
          </w:tcPr>
          <w:p w14:paraId="4AEA4B59" w14:textId="77777777" w:rsidR="00E17A77" w:rsidRDefault="0033624F">
            <w:r>
              <w:t>Outputs</w:t>
            </w:r>
          </w:p>
        </w:tc>
        <w:tc>
          <w:tcPr>
            <w:tcW w:w="8208" w:type="dxa"/>
          </w:tcPr>
          <w:p w14:paraId="19596E46" w14:textId="77777777" w:rsidR="00E17A77" w:rsidRDefault="0033624F">
            <w:r>
              <w:t>Current vs future state workflow design; implementation plan; prototypes and documentation; operating procedure and training for sustainment.</w:t>
            </w:r>
          </w:p>
        </w:tc>
      </w:tr>
      <w:tr w:rsidR="00E17A77" w14:paraId="1A08AD32" w14:textId="77777777">
        <w:tc>
          <w:tcPr>
            <w:tcW w:w="2304" w:type="dxa"/>
          </w:tcPr>
          <w:p w14:paraId="66A75BBB" w14:textId="77777777" w:rsidR="00E17A77" w:rsidRDefault="0033624F">
            <w:r>
              <w:t>Typical timeline</w:t>
            </w:r>
          </w:p>
        </w:tc>
        <w:tc>
          <w:tcPr>
            <w:tcW w:w="8208" w:type="dxa"/>
          </w:tcPr>
          <w:p w14:paraId="3D770507" w14:textId="77777777" w:rsidR="00E17A77" w:rsidRDefault="0033624F">
            <w:r>
              <w:t>2–12 weeks depending on integration constraints and prototype complexity.</w:t>
            </w:r>
          </w:p>
        </w:tc>
      </w:tr>
      <w:tr w:rsidR="00E17A77" w14:paraId="24D8C4F1" w14:textId="77777777">
        <w:tc>
          <w:tcPr>
            <w:tcW w:w="2304" w:type="dxa"/>
          </w:tcPr>
          <w:p w14:paraId="59E90DDC" w14:textId="77777777" w:rsidR="00E17A77" w:rsidRDefault="0033624F">
            <w:r>
              <w:t>Assumptions</w:t>
            </w:r>
          </w:p>
        </w:tc>
        <w:tc>
          <w:tcPr>
            <w:tcW w:w="8208" w:type="dxa"/>
          </w:tcPr>
          <w:p w14:paraId="5CC5A1B0" w14:textId="77777777" w:rsidR="00E17A77" w:rsidRDefault="0033624F">
            <w:r>
              <w:t>Security and data-handling requirements are defined up front; suitable stakeholders are available for testing/acceptance.</w:t>
            </w:r>
          </w:p>
        </w:tc>
      </w:tr>
      <w:tr w:rsidR="00E17A77" w14:paraId="46907BCF" w14:textId="77777777">
        <w:tc>
          <w:tcPr>
            <w:tcW w:w="2304" w:type="dxa"/>
          </w:tcPr>
          <w:p w14:paraId="2B080986" w14:textId="77777777" w:rsidR="00E17A77" w:rsidRDefault="0033624F">
            <w:r>
              <w:t>Exclusions (unless agreed)</w:t>
            </w:r>
          </w:p>
        </w:tc>
        <w:tc>
          <w:tcPr>
            <w:tcW w:w="8208" w:type="dxa"/>
          </w:tcPr>
          <w:p w14:paraId="6E622774" w14:textId="77777777" w:rsidR="00E17A77" w:rsidRDefault="0033624F">
            <w:r>
              <w:t>Ongoing hosting/operation of client enterprise systems on EIE infrastructure.</w:t>
            </w:r>
          </w:p>
        </w:tc>
      </w:tr>
      <w:tr w:rsidR="00E17A77" w14:paraId="2F79D8C3" w14:textId="77777777">
        <w:tc>
          <w:tcPr>
            <w:tcW w:w="2304" w:type="dxa"/>
          </w:tcPr>
          <w:p w14:paraId="2FEA98FB" w14:textId="77777777" w:rsidR="00E17A77" w:rsidRDefault="0033624F">
            <w:r>
              <w:t>Change handling</w:t>
            </w:r>
          </w:p>
        </w:tc>
        <w:tc>
          <w:tcPr>
            <w:tcW w:w="8208" w:type="dxa"/>
          </w:tcPr>
          <w:p w14:paraId="55FB946C" w14:textId="77777777" w:rsidR="00E17A77" w:rsidRDefault="0033624F">
            <w:r>
              <w:t>Delivered in iterative sprints with transparent backlog control; scope changes managed through sprint planning and documented approvals.</w:t>
            </w:r>
          </w:p>
        </w:tc>
      </w:tr>
    </w:tbl>
    <w:p w14:paraId="707D8F66" w14:textId="77777777" w:rsidR="00E17A77" w:rsidRDefault="00E17A77"/>
    <w:p w14:paraId="1BF31EBD" w14:textId="77777777" w:rsidR="00E17A77" w:rsidRDefault="0033624F">
      <w:pPr>
        <w:pStyle w:val="Heading3"/>
      </w:pPr>
      <w:r>
        <w:t>1. Process Safety Consulting and Facilitation</w:t>
      </w:r>
    </w:p>
    <w:p w14:paraId="58EEF4AD" w14:textId="77777777" w:rsidR="001C6F3E" w:rsidRDefault="00771E1C">
      <w:pPr>
        <w:pStyle w:val="Heading2"/>
      </w:pPr>
      <w:r>
        <w:t>4.3 Experience, Tools and Differentiators</w:t>
      </w:r>
    </w:p>
    <w:p w14:paraId="622D7DA4" w14:textId="77777777" w:rsidR="001C6F3E" w:rsidRDefault="00771E1C">
      <w:pPr>
        <w:spacing w:after="160"/>
      </w:pPr>
      <w:r>
        <w:t>EIE aligns methods and reporting to applicable standards, client engineering practices and regulatory expectations where relevant. Selected experience highlights, tools and differentiators are summarised below and in the appendices.</w:t>
      </w:r>
    </w:p>
    <w:p w14:paraId="0639F2E5" w14:textId="77777777" w:rsidR="00E17A77" w:rsidRDefault="0033624F">
      <w:pPr>
        <w:pStyle w:val="ListBullet"/>
      </w:pPr>
      <w:r>
        <w:t>Experience across offshore and onshore facilities including FPSOs, wellhead platforms, subsea systems, pipelines/flowlines, and onshore gas plants.</w:t>
      </w:r>
    </w:p>
    <w:p w14:paraId="7827E765" w14:textId="77777777" w:rsidR="00E17A77" w:rsidRDefault="0033624F">
      <w:pPr>
        <w:pStyle w:val="ListBullet"/>
      </w:pPr>
      <w:r>
        <w:t>Facilitation and study support for HAZOP, SIL/LOPA and related workshops including long-duration programs for topsides and onshore facilities.</w:t>
      </w:r>
    </w:p>
    <w:p w14:paraId="2DE51457" w14:textId="77777777" w:rsidR="00E17A77" w:rsidRDefault="0033624F">
      <w:pPr>
        <w:pStyle w:val="ListBullet"/>
      </w:pPr>
      <w:r>
        <w:t>Safety case and FSA study development support including performance standards for safety critical elements (SCEs) and integrated assurance inputs.</w:t>
      </w:r>
    </w:p>
    <w:p w14:paraId="484A10D1" w14:textId="77777777" w:rsidR="00E17A77" w:rsidRDefault="0033624F">
      <w:pPr>
        <w:pStyle w:val="ListBullet"/>
      </w:pPr>
      <w:r>
        <w:t>QRA and fire/explosion modelling support for offshore platforms, FPSOs and onshore plants; risk driver and sensitivity studies for ALARP decision making.</w:t>
      </w:r>
    </w:p>
    <w:p w14:paraId="5C73F924" w14:textId="77777777" w:rsidR="00E17A77" w:rsidRDefault="0033624F">
      <w:pPr>
        <w:pStyle w:val="ListBullet"/>
      </w:pPr>
      <w:r>
        <w:t>Reliability and availability modelling for offshore facilities and operational decision support.</w:t>
      </w:r>
    </w:p>
    <w:p w14:paraId="6829C466" w14:textId="77777777" w:rsidR="00E17A77" w:rsidRDefault="0033624F">
      <w:pPr>
        <w:pStyle w:val="ListBullet"/>
      </w:pPr>
      <w:r>
        <w:t>Major client experience includes (examples): Woodside, Chevron, INPEX, OMV, Apache Energy, BHP Billiton, BP, MODEC and engineering contractors (project dependent).</w:t>
      </w:r>
    </w:p>
    <w:p w14:paraId="25607398" w14:textId="77777777" w:rsidR="00E17A77" w:rsidRDefault="0033624F">
      <w:r>
        <w:t>Typical tools and technical methods (project dependent):</w:t>
      </w:r>
    </w:p>
    <w:p w14:paraId="003F4F56" w14:textId="77777777" w:rsidR="00E17A77" w:rsidRDefault="0033624F">
      <w:pPr>
        <w:pStyle w:val="ListBullet"/>
      </w:pPr>
      <w:r>
        <w:t>Consequence and risk: DNV PHAST / PHAST Risk; client-nominated QRA tools; fit-for-purpose models and spreadsheets.</w:t>
      </w:r>
    </w:p>
    <w:p w14:paraId="17D343CD" w14:textId="77777777" w:rsidR="00E17A77" w:rsidRDefault="0033624F">
      <w:pPr>
        <w:pStyle w:val="ListBullet"/>
      </w:pPr>
      <w:r>
        <w:t>Fire and explosion modelling: project-dependent approaches including CFD tools such as FDS where appropriate.</w:t>
      </w:r>
    </w:p>
    <w:p w14:paraId="1EDCD3BC" w14:textId="77777777" w:rsidR="00E17A77" w:rsidRDefault="0033624F">
      <w:pPr>
        <w:pStyle w:val="ListBullet"/>
      </w:pPr>
      <w:r>
        <w:lastRenderedPageBreak/>
        <w:t>Facilitation packs: structured worksheets, guidewords, prompts, action registers and decision logs; combined HAZOP and SIL methodology available.</w:t>
      </w:r>
    </w:p>
    <w:p w14:paraId="18B3A75A" w14:textId="77777777" w:rsidR="00E17A77" w:rsidRDefault="0033624F">
      <w:pPr>
        <w:pStyle w:val="ListBullet"/>
      </w:pPr>
      <w:r>
        <w:t>Reporting: governance-ready recommendation reports, evidence maps, and controlled document registers.</w:t>
      </w:r>
    </w:p>
    <w:p w14:paraId="3F27DB65" w14:textId="77777777" w:rsidR="00E17A77" w:rsidRDefault="0033624F">
      <w:r>
        <w:t>Key differentiators:</w:t>
      </w:r>
    </w:p>
    <w:p w14:paraId="77189844" w14:textId="77777777" w:rsidR="00E17A77" w:rsidRDefault="0033624F">
      <w:pPr>
        <w:pStyle w:val="ListBullet"/>
      </w:pPr>
      <w:r>
        <w:t>Specialist focus on process safety, risk and functional safety with clear, actionable reporting.</w:t>
      </w:r>
    </w:p>
    <w:p w14:paraId="05965C19" w14:textId="77777777" w:rsidR="00E17A77" w:rsidRDefault="0033624F">
      <w:pPr>
        <w:pStyle w:val="ListBullet"/>
      </w:pPr>
      <w:r>
        <w:t>Experienced facilitator and technical lead with proven methods across major operator and contractor environments.</w:t>
      </w:r>
    </w:p>
    <w:p w14:paraId="7457D411" w14:textId="77777777" w:rsidR="00E17A77" w:rsidRDefault="0033624F">
      <w:pPr>
        <w:pStyle w:val="ListBullet"/>
      </w:pPr>
      <w:r>
        <w:t>Decision-focused modelling and clear communication of assumptions, limitations and sensitivities.</w:t>
      </w:r>
    </w:p>
    <w:p w14:paraId="686F77B9" w14:textId="77777777" w:rsidR="00E17A77" w:rsidRDefault="0033624F">
      <w:pPr>
        <w:pStyle w:val="ListBullet"/>
      </w:pPr>
      <w:r>
        <w:t>Integrated approach across risk studies, safety case inputs, training and efficiency improvements.</w:t>
      </w:r>
    </w:p>
    <w:p w14:paraId="1750F59C" w14:textId="77777777" w:rsidR="001C6F3E" w:rsidRDefault="00771E1C">
      <w:pPr>
        <w:pStyle w:val="Heading1"/>
      </w:pPr>
      <w:r>
        <w:t>5. Management System (WHS, Quality, Security)</w:t>
      </w:r>
    </w:p>
    <w:p w14:paraId="17EB2FC0" w14:textId="77777777" w:rsidR="00E17A77" w:rsidRDefault="0033624F">
      <w:r>
        <w:t>EIE maintains a practical management system appropriate for a specialist consultancy, covering work health and safety, quality, confidentiality and information security. Controls are scaled to the nature of the work (office-based delivery by default) and to client contractual requirements.</w:t>
      </w:r>
    </w:p>
    <w:p w14:paraId="34939691" w14:textId="77777777" w:rsidR="00E17A77" w:rsidRDefault="0033624F">
      <w:r>
        <w:t>Health and safety: Office-based WHS procedures are maintained, and where client engagements require contractor onboarding, EIE supports the client’s consultation, cooperation and coordination arrangements.</w:t>
      </w:r>
    </w:p>
    <w:p w14:paraId="1D040CE6" w14:textId="77777777" w:rsidR="00E17A77" w:rsidRDefault="0033624F">
      <w:r>
        <w:t>Quality: Controlled templates, document numbering and revision control are applied, with internal checks to support consistent, defensible deliverables.</w:t>
      </w:r>
    </w:p>
    <w:p w14:paraId="3F6F8D53" w14:textId="77777777" w:rsidR="00E17A77" w:rsidRDefault="0033624F">
      <w:r>
        <w:t>Information security: EIE applies baseline cyber hygiene controls (e.g., multi-factor authentication, secure storage and backups) and aligns to client data-handling expectations for AI and analytics work.</w:t>
      </w:r>
    </w:p>
    <w:p w14:paraId="358D84B7" w14:textId="77777777" w:rsidR="001C6F3E" w:rsidRDefault="00771E1C">
      <w:pPr>
        <w:pStyle w:val="Heading2"/>
      </w:pPr>
      <w:r>
        <w:t>5.1 Business Risks and Controls Summary</w:t>
      </w:r>
    </w:p>
    <w:p w14:paraId="112938F9" w14:textId="77777777" w:rsidR="001C6F3E" w:rsidRDefault="00771E1C">
      <w:pPr>
        <w:spacing w:after="160"/>
      </w:pPr>
      <w:r>
        <w:t>EIE maintains a risk-based management approach appropriate for a specialist consultancy, including document control, confidentiality controls, quality checks and change management. Typical risks and controls are summarised in Table 5-1.</w:t>
      </w:r>
    </w:p>
    <w:tbl>
      <w:tblPr>
        <w:tblStyle w:val="TableGrid"/>
        <w:tblW w:w="0" w:type="auto"/>
        <w:tblLayout w:type="fixed"/>
        <w:tblLook w:val="04A0" w:firstRow="1" w:lastRow="0" w:firstColumn="1" w:lastColumn="0" w:noHBand="0" w:noVBand="1"/>
      </w:tblPr>
      <w:tblGrid>
        <w:gridCol w:w="1814"/>
        <w:gridCol w:w="1814"/>
        <w:gridCol w:w="1814"/>
        <w:gridCol w:w="1814"/>
        <w:gridCol w:w="1814"/>
      </w:tblGrid>
      <w:tr w:rsidR="001C6F3E" w14:paraId="58AD27AD" w14:textId="77777777">
        <w:trPr>
          <w:cantSplit/>
        </w:trPr>
        <w:tc>
          <w:tcPr>
            <w:tcW w:w="1814" w:type="dxa"/>
          </w:tcPr>
          <w:p w14:paraId="757B6FC9" w14:textId="77777777" w:rsidR="001C6F3E" w:rsidRDefault="00771E1C">
            <w:r>
              <w:rPr>
                <w:b/>
              </w:rPr>
              <w:t>Hazard</w:t>
            </w:r>
          </w:p>
        </w:tc>
        <w:tc>
          <w:tcPr>
            <w:tcW w:w="1814" w:type="dxa"/>
          </w:tcPr>
          <w:p w14:paraId="1B7C6F3A" w14:textId="77777777" w:rsidR="001C6F3E" w:rsidRDefault="00771E1C">
            <w:r>
              <w:rPr>
                <w:b/>
              </w:rPr>
              <w:t>Consequence</w:t>
            </w:r>
          </w:p>
        </w:tc>
        <w:tc>
          <w:tcPr>
            <w:tcW w:w="1814" w:type="dxa"/>
          </w:tcPr>
          <w:p w14:paraId="0FC3CBA1" w14:textId="77777777" w:rsidR="001C6F3E" w:rsidRDefault="00771E1C">
            <w:r>
              <w:rPr>
                <w:b/>
              </w:rPr>
              <w:t>Existing Controls</w:t>
            </w:r>
          </w:p>
        </w:tc>
        <w:tc>
          <w:tcPr>
            <w:tcW w:w="1814" w:type="dxa"/>
          </w:tcPr>
          <w:p w14:paraId="6567A4DF" w14:textId="77777777" w:rsidR="001C6F3E" w:rsidRDefault="00771E1C">
            <w:r>
              <w:rPr>
                <w:b/>
              </w:rPr>
              <w:t>Residual Risk</w:t>
            </w:r>
          </w:p>
        </w:tc>
        <w:tc>
          <w:tcPr>
            <w:tcW w:w="1814" w:type="dxa"/>
          </w:tcPr>
          <w:p w14:paraId="542CE07E" w14:textId="77777777" w:rsidR="001C6F3E" w:rsidRDefault="00771E1C">
            <w:r>
              <w:rPr>
                <w:b/>
              </w:rPr>
              <w:t>Action / Owner</w:t>
            </w:r>
          </w:p>
        </w:tc>
      </w:tr>
      <w:tr w:rsidR="001C6F3E" w14:paraId="57C82EE8" w14:textId="77777777">
        <w:trPr>
          <w:cantSplit/>
        </w:trPr>
        <w:tc>
          <w:tcPr>
            <w:tcW w:w="1814" w:type="dxa"/>
          </w:tcPr>
          <w:p w14:paraId="05D7F2E4" w14:textId="77777777" w:rsidR="00E17A77" w:rsidRDefault="0033624F">
            <w:r>
              <w:t>Data confidentiality breach</w:t>
            </w:r>
          </w:p>
        </w:tc>
        <w:tc>
          <w:tcPr>
            <w:tcW w:w="1814" w:type="dxa"/>
          </w:tcPr>
          <w:p w14:paraId="488DBC8A" w14:textId="77777777" w:rsidR="00E17A77" w:rsidRDefault="0033624F">
            <w:r>
              <w:t>Client data exposure and reputational/legal impact</w:t>
            </w:r>
          </w:p>
        </w:tc>
        <w:tc>
          <w:tcPr>
            <w:tcW w:w="1814" w:type="dxa"/>
          </w:tcPr>
          <w:p w14:paraId="0086DE51" w14:textId="77777777" w:rsidR="00E17A77" w:rsidRDefault="0033624F">
            <w:r>
              <w:t>MFA, least privilege, encrypted storage where available, NDA/contract controls, secure sharing methods</w:t>
            </w:r>
          </w:p>
        </w:tc>
        <w:tc>
          <w:tcPr>
            <w:tcW w:w="1814" w:type="dxa"/>
          </w:tcPr>
          <w:p w14:paraId="510B7748" w14:textId="77777777" w:rsidR="00E17A77" w:rsidRDefault="0033624F">
            <w:r>
              <w:t>Low</w:t>
            </w:r>
          </w:p>
        </w:tc>
        <w:tc>
          <w:tcPr>
            <w:tcW w:w="1814" w:type="dxa"/>
          </w:tcPr>
          <w:p w14:paraId="3FEBE54A" w14:textId="77777777" w:rsidR="00E17A77" w:rsidRDefault="0033624F">
            <w:r>
              <w:t>Maintain security checklist; periodic review</w:t>
            </w:r>
          </w:p>
        </w:tc>
      </w:tr>
      <w:tr w:rsidR="001C6F3E" w14:paraId="6925BE7F" w14:textId="77777777">
        <w:trPr>
          <w:cantSplit/>
        </w:trPr>
        <w:tc>
          <w:tcPr>
            <w:tcW w:w="1814" w:type="dxa"/>
          </w:tcPr>
          <w:p w14:paraId="35BC711E" w14:textId="77777777" w:rsidR="00E17A77" w:rsidRDefault="0033624F">
            <w:r>
              <w:lastRenderedPageBreak/>
              <w:t>Scope creep / uncontrolled change</w:t>
            </w:r>
          </w:p>
        </w:tc>
        <w:tc>
          <w:tcPr>
            <w:tcW w:w="1814" w:type="dxa"/>
          </w:tcPr>
          <w:p w14:paraId="194C68E3" w14:textId="77777777" w:rsidR="00E17A77" w:rsidRDefault="0033624F">
            <w:r>
              <w:t>Schedule/cost overrun; unclear deliverables</w:t>
            </w:r>
          </w:p>
        </w:tc>
        <w:tc>
          <w:tcPr>
            <w:tcW w:w="1814" w:type="dxa"/>
          </w:tcPr>
          <w:p w14:paraId="23608FE7" w14:textId="77777777" w:rsidR="00E17A77" w:rsidRDefault="0033624F">
            <w:r>
              <w:t>Documented scope boundaries, assumptions register, formal change requests/variations</w:t>
            </w:r>
          </w:p>
        </w:tc>
        <w:tc>
          <w:tcPr>
            <w:tcW w:w="1814" w:type="dxa"/>
          </w:tcPr>
          <w:p w14:paraId="4A7D56AD" w14:textId="77777777" w:rsidR="00E17A77" w:rsidRDefault="0033624F">
            <w:r>
              <w:t>Low</w:t>
            </w:r>
          </w:p>
        </w:tc>
        <w:tc>
          <w:tcPr>
            <w:tcW w:w="1814" w:type="dxa"/>
          </w:tcPr>
          <w:p w14:paraId="457308CF" w14:textId="77777777" w:rsidR="00E17A77" w:rsidRDefault="0033624F">
            <w:r>
              <w:t>Apply change control on all scope changes</w:t>
            </w:r>
          </w:p>
        </w:tc>
      </w:tr>
      <w:tr w:rsidR="001C6F3E" w14:paraId="3332E67C" w14:textId="77777777">
        <w:trPr>
          <w:cantSplit/>
        </w:trPr>
        <w:tc>
          <w:tcPr>
            <w:tcW w:w="1814" w:type="dxa"/>
          </w:tcPr>
          <w:p w14:paraId="6809EB0C" w14:textId="77777777" w:rsidR="00E17A77" w:rsidRDefault="0033624F">
            <w:r>
              <w:t>Incorrect or incomplete assumptions</w:t>
            </w:r>
          </w:p>
        </w:tc>
        <w:tc>
          <w:tcPr>
            <w:tcW w:w="1814" w:type="dxa"/>
          </w:tcPr>
          <w:p w14:paraId="5F8B0E30" w14:textId="77777777" w:rsidR="00E17A77" w:rsidRDefault="0033624F">
            <w:r>
              <w:t>Recommendations not fit for purpose</w:t>
            </w:r>
          </w:p>
        </w:tc>
        <w:tc>
          <w:tcPr>
            <w:tcW w:w="1814" w:type="dxa"/>
          </w:tcPr>
          <w:p w14:paraId="74AC37AD" w14:textId="77777777" w:rsidR="00E17A77" w:rsidRDefault="0033624F">
            <w:r>
              <w:t>Assumptions documented; client review points; sensitivity checks where appropriate</w:t>
            </w:r>
          </w:p>
        </w:tc>
        <w:tc>
          <w:tcPr>
            <w:tcW w:w="1814" w:type="dxa"/>
          </w:tcPr>
          <w:p w14:paraId="0DE0EBCD" w14:textId="77777777" w:rsidR="00E17A77" w:rsidRDefault="0033624F">
            <w:r>
              <w:t>Medium</w:t>
            </w:r>
          </w:p>
        </w:tc>
        <w:tc>
          <w:tcPr>
            <w:tcW w:w="1814" w:type="dxa"/>
          </w:tcPr>
          <w:p w14:paraId="08C2C602" w14:textId="77777777" w:rsidR="00E17A77" w:rsidRDefault="0033624F">
            <w:r>
              <w:t>Confirm key assumptions at kickoff and prior to issue</w:t>
            </w:r>
          </w:p>
        </w:tc>
      </w:tr>
      <w:tr w:rsidR="001C6F3E" w14:paraId="3ABA7791" w14:textId="77777777">
        <w:trPr>
          <w:cantSplit/>
        </w:trPr>
        <w:tc>
          <w:tcPr>
            <w:tcW w:w="1814" w:type="dxa"/>
          </w:tcPr>
          <w:p w14:paraId="42C0FFE2" w14:textId="77777777" w:rsidR="00E17A77" w:rsidRDefault="0033624F">
            <w:r>
              <w:t>Workshop quality / missing disciplines</w:t>
            </w:r>
          </w:p>
        </w:tc>
        <w:tc>
          <w:tcPr>
            <w:tcW w:w="1814" w:type="dxa"/>
          </w:tcPr>
          <w:p w14:paraId="01255CF8" w14:textId="77777777" w:rsidR="00E17A77" w:rsidRDefault="0033624F">
            <w:r>
              <w:t>Incomplete hazard identification or weak actions</w:t>
            </w:r>
          </w:p>
        </w:tc>
        <w:tc>
          <w:tcPr>
            <w:tcW w:w="1814" w:type="dxa"/>
          </w:tcPr>
          <w:p w14:paraId="116C3DBC" w14:textId="77777777" w:rsidR="00E17A77" w:rsidRDefault="0033624F">
            <w:r>
              <w:t>Preparation checklist, required attendee list, action quality criteria</w:t>
            </w:r>
          </w:p>
        </w:tc>
        <w:tc>
          <w:tcPr>
            <w:tcW w:w="1814" w:type="dxa"/>
          </w:tcPr>
          <w:p w14:paraId="00890C26" w14:textId="77777777" w:rsidR="00E17A77" w:rsidRDefault="0033624F">
            <w:r>
              <w:t>Medium</w:t>
            </w:r>
          </w:p>
        </w:tc>
        <w:tc>
          <w:tcPr>
            <w:tcW w:w="1814" w:type="dxa"/>
          </w:tcPr>
          <w:p w14:paraId="24A3CB49" w14:textId="77777777" w:rsidR="00E17A77" w:rsidRDefault="0033624F">
            <w:r>
              <w:t>Confirm attendees early; reschedule if critical disciplines absent</w:t>
            </w:r>
          </w:p>
        </w:tc>
      </w:tr>
    </w:tbl>
    <w:p w14:paraId="1E89BA50" w14:textId="77777777" w:rsidR="001C6F3E" w:rsidRDefault="00771E1C">
      <w:pPr>
        <w:pStyle w:val="Heading1"/>
      </w:pPr>
      <w:r>
        <w:t>6. Why EIE</w:t>
      </w:r>
    </w:p>
    <w:p w14:paraId="24BD513A" w14:textId="77777777" w:rsidR="001C6F3E" w:rsidRDefault="00771E1C">
      <w:pPr>
        <w:spacing w:after="160"/>
      </w:pPr>
      <w:r>
        <w:t>EIE offers specialist, high-value process safety and risk engineering support from Perth, WA, combining deep technical capability with practical facilitation and clear reporting. Our focus is to help clients identify risk drivers, prioritise controls, and implement improvements through actionable recommendations and fit-for-purpose training.</w:t>
      </w:r>
    </w:p>
    <w:p w14:paraId="0DE1E076" w14:textId="77777777" w:rsidR="001C6F3E" w:rsidRDefault="00771E1C">
      <w:pPr>
        <w:pStyle w:val="Heading1"/>
      </w:pPr>
      <w:r>
        <w:t>7. Engagement Pathway</w:t>
      </w:r>
    </w:p>
    <w:p w14:paraId="2D6CBFCC" w14:textId="77777777" w:rsidR="001C6F3E" w:rsidRDefault="00771E1C">
      <w:pPr>
        <w:spacing w:after="160"/>
      </w:pPr>
      <w:r>
        <w:t>Typical next steps for engaging EIE are outlined in Table 7-1.</w:t>
      </w:r>
    </w:p>
    <w:tbl>
      <w:tblPr>
        <w:tblStyle w:val="TableGrid"/>
        <w:tblW w:w="0" w:type="auto"/>
        <w:tblLayout w:type="fixed"/>
        <w:tblLook w:val="04A0" w:firstRow="1" w:lastRow="0" w:firstColumn="1" w:lastColumn="0" w:noHBand="0" w:noVBand="1"/>
      </w:tblPr>
      <w:tblGrid>
        <w:gridCol w:w="1814"/>
        <w:gridCol w:w="1814"/>
        <w:gridCol w:w="1814"/>
        <w:gridCol w:w="1814"/>
        <w:gridCol w:w="1814"/>
      </w:tblGrid>
      <w:tr w:rsidR="001C6F3E" w14:paraId="384FFD97" w14:textId="77777777">
        <w:trPr>
          <w:cantSplit/>
        </w:trPr>
        <w:tc>
          <w:tcPr>
            <w:tcW w:w="1814" w:type="dxa"/>
          </w:tcPr>
          <w:p w14:paraId="4006C00A" w14:textId="77777777" w:rsidR="001C6F3E" w:rsidRDefault="00771E1C">
            <w:r>
              <w:rPr>
                <w:b/>
              </w:rPr>
              <w:t>No.</w:t>
            </w:r>
          </w:p>
        </w:tc>
        <w:tc>
          <w:tcPr>
            <w:tcW w:w="1814" w:type="dxa"/>
          </w:tcPr>
          <w:p w14:paraId="5E020BAF" w14:textId="77777777" w:rsidR="001C6F3E" w:rsidRDefault="00771E1C">
            <w:r>
              <w:rPr>
                <w:b/>
              </w:rPr>
              <w:t>Recommendation</w:t>
            </w:r>
          </w:p>
        </w:tc>
        <w:tc>
          <w:tcPr>
            <w:tcW w:w="1814" w:type="dxa"/>
          </w:tcPr>
          <w:p w14:paraId="0F87206E" w14:textId="77777777" w:rsidR="001C6F3E" w:rsidRDefault="00771E1C">
            <w:r>
              <w:rPr>
                <w:b/>
              </w:rPr>
              <w:t>Priority (H/M/L)</w:t>
            </w:r>
          </w:p>
        </w:tc>
        <w:tc>
          <w:tcPr>
            <w:tcW w:w="1814" w:type="dxa"/>
          </w:tcPr>
          <w:p w14:paraId="4DF3C5FF" w14:textId="77777777" w:rsidR="001C6F3E" w:rsidRDefault="00771E1C">
            <w:r>
              <w:rPr>
                <w:b/>
              </w:rPr>
              <w:t>Benefit / Risk Reduced</w:t>
            </w:r>
          </w:p>
        </w:tc>
        <w:tc>
          <w:tcPr>
            <w:tcW w:w="1814" w:type="dxa"/>
          </w:tcPr>
          <w:p w14:paraId="1BFF9DA8" w14:textId="77777777" w:rsidR="001C6F3E" w:rsidRDefault="00771E1C">
            <w:r>
              <w:rPr>
                <w:b/>
              </w:rPr>
              <w:t>Owner / Target Date</w:t>
            </w:r>
          </w:p>
        </w:tc>
      </w:tr>
      <w:tr w:rsidR="001C6F3E" w14:paraId="5EE9EF89" w14:textId="77777777">
        <w:trPr>
          <w:cantSplit/>
        </w:trPr>
        <w:tc>
          <w:tcPr>
            <w:tcW w:w="1814" w:type="dxa"/>
          </w:tcPr>
          <w:p w14:paraId="6FC04F3D" w14:textId="77777777" w:rsidR="00E17A77" w:rsidRDefault="0033624F">
            <w:r>
              <w:t>1</w:t>
            </w:r>
          </w:p>
        </w:tc>
        <w:tc>
          <w:tcPr>
            <w:tcW w:w="1814" w:type="dxa"/>
          </w:tcPr>
          <w:p w14:paraId="3FACB8A4" w14:textId="77777777" w:rsidR="00E17A77" w:rsidRDefault="0033624F">
            <w:r>
              <w:t>Initial scoping call and (if required) NDA execution.</w:t>
            </w:r>
          </w:p>
        </w:tc>
        <w:tc>
          <w:tcPr>
            <w:tcW w:w="1814" w:type="dxa"/>
          </w:tcPr>
          <w:p w14:paraId="6034518E" w14:textId="77777777" w:rsidR="00E17A77" w:rsidRDefault="0033624F">
            <w:r>
              <w:t>H</w:t>
            </w:r>
          </w:p>
        </w:tc>
        <w:tc>
          <w:tcPr>
            <w:tcW w:w="1814" w:type="dxa"/>
          </w:tcPr>
          <w:p w14:paraId="52299697" w14:textId="77777777" w:rsidR="00E17A77" w:rsidRDefault="0033624F">
            <w:r>
              <w:t>Rapid alignment on objectives, scope boundaries and success criteria.</w:t>
            </w:r>
          </w:p>
        </w:tc>
        <w:tc>
          <w:tcPr>
            <w:tcW w:w="1814" w:type="dxa"/>
          </w:tcPr>
          <w:p w14:paraId="20830F2D" w14:textId="77777777" w:rsidR="00E17A77" w:rsidRDefault="0033624F">
            <w:r>
              <w:t>Client / EIE – Week 1</w:t>
            </w:r>
          </w:p>
        </w:tc>
      </w:tr>
      <w:tr w:rsidR="001C6F3E" w14:paraId="2F1290D5" w14:textId="77777777">
        <w:trPr>
          <w:cantSplit/>
        </w:trPr>
        <w:tc>
          <w:tcPr>
            <w:tcW w:w="1814" w:type="dxa"/>
          </w:tcPr>
          <w:p w14:paraId="4F9751D4" w14:textId="77777777" w:rsidR="00E17A77" w:rsidRDefault="0033624F">
            <w:r>
              <w:t>2</w:t>
            </w:r>
          </w:p>
        </w:tc>
        <w:tc>
          <w:tcPr>
            <w:tcW w:w="1814" w:type="dxa"/>
          </w:tcPr>
          <w:p w14:paraId="7B2B23E7" w14:textId="77777777" w:rsidR="00E17A77" w:rsidRDefault="0033624F">
            <w:r>
              <w:t>Proposal and engagement plan (deliverables, schedule, assumptions, exclusions, variation rules).</w:t>
            </w:r>
          </w:p>
        </w:tc>
        <w:tc>
          <w:tcPr>
            <w:tcW w:w="1814" w:type="dxa"/>
          </w:tcPr>
          <w:p w14:paraId="410D58B8" w14:textId="77777777" w:rsidR="00E17A77" w:rsidRDefault="0033624F">
            <w:r>
              <w:t>H</w:t>
            </w:r>
          </w:p>
        </w:tc>
        <w:tc>
          <w:tcPr>
            <w:tcW w:w="1814" w:type="dxa"/>
          </w:tcPr>
          <w:p w14:paraId="381151CD" w14:textId="77777777" w:rsidR="00E17A77" w:rsidRDefault="0033624F">
            <w:r>
              <w:t>Clear scope and governance; minimises commercial and technical risk.</w:t>
            </w:r>
          </w:p>
        </w:tc>
        <w:tc>
          <w:tcPr>
            <w:tcW w:w="1814" w:type="dxa"/>
          </w:tcPr>
          <w:p w14:paraId="0B7BFFD7" w14:textId="77777777" w:rsidR="00E17A77" w:rsidRDefault="0033624F">
            <w:r>
              <w:t>EIE – Week 1</w:t>
            </w:r>
          </w:p>
        </w:tc>
      </w:tr>
      <w:tr w:rsidR="001C6F3E" w14:paraId="179FD9A3" w14:textId="77777777">
        <w:trPr>
          <w:cantSplit/>
        </w:trPr>
        <w:tc>
          <w:tcPr>
            <w:tcW w:w="1814" w:type="dxa"/>
          </w:tcPr>
          <w:p w14:paraId="764AF7EB" w14:textId="77777777" w:rsidR="00E17A77" w:rsidRDefault="0033624F">
            <w:r>
              <w:lastRenderedPageBreak/>
              <w:t>3</w:t>
            </w:r>
          </w:p>
        </w:tc>
        <w:tc>
          <w:tcPr>
            <w:tcW w:w="1814" w:type="dxa"/>
          </w:tcPr>
          <w:p w14:paraId="3515E995" w14:textId="77777777" w:rsidR="00E17A77" w:rsidRDefault="0033624F">
            <w:r>
              <w:t>Kickoff meeting and data pack confirmation (document list, SMEs, workshop schedule).</w:t>
            </w:r>
          </w:p>
        </w:tc>
        <w:tc>
          <w:tcPr>
            <w:tcW w:w="1814" w:type="dxa"/>
          </w:tcPr>
          <w:p w14:paraId="24AED2AC" w14:textId="77777777" w:rsidR="00E17A77" w:rsidRDefault="0033624F">
            <w:r>
              <w:t>M</w:t>
            </w:r>
          </w:p>
        </w:tc>
        <w:tc>
          <w:tcPr>
            <w:tcW w:w="1814" w:type="dxa"/>
          </w:tcPr>
          <w:p w14:paraId="61D4C648" w14:textId="77777777" w:rsidR="00E17A77" w:rsidRDefault="0033624F">
            <w:r>
              <w:t>Ensures efficient delivery and reduces rework.</w:t>
            </w:r>
          </w:p>
        </w:tc>
        <w:tc>
          <w:tcPr>
            <w:tcW w:w="1814" w:type="dxa"/>
          </w:tcPr>
          <w:p w14:paraId="3AC7A208" w14:textId="77777777" w:rsidR="00E17A77" w:rsidRDefault="0033624F">
            <w:r>
              <w:t>Client / EIE – Week 2</w:t>
            </w:r>
          </w:p>
        </w:tc>
      </w:tr>
      <w:tr w:rsidR="001C6F3E" w14:paraId="463DCFC2" w14:textId="77777777">
        <w:trPr>
          <w:cantSplit/>
        </w:trPr>
        <w:tc>
          <w:tcPr>
            <w:tcW w:w="1814" w:type="dxa"/>
          </w:tcPr>
          <w:p w14:paraId="6A6CF5B0" w14:textId="77777777" w:rsidR="00E17A77" w:rsidRDefault="0033624F">
            <w:r>
              <w:t>4</w:t>
            </w:r>
          </w:p>
        </w:tc>
        <w:tc>
          <w:tcPr>
            <w:tcW w:w="1814" w:type="dxa"/>
          </w:tcPr>
          <w:p w14:paraId="711A58F8" w14:textId="77777777" w:rsidR="00E17A77" w:rsidRDefault="0033624F">
            <w:r>
              <w:t>Delivery, review and closeout (draft issue, review cycle, action register handover).</w:t>
            </w:r>
          </w:p>
        </w:tc>
        <w:tc>
          <w:tcPr>
            <w:tcW w:w="1814" w:type="dxa"/>
          </w:tcPr>
          <w:p w14:paraId="1AD421D9" w14:textId="77777777" w:rsidR="00E17A77" w:rsidRDefault="0033624F">
            <w:r>
              <w:t>M</w:t>
            </w:r>
          </w:p>
        </w:tc>
        <w:tc>
          <w:tcPr>
            <w:tcW w:w="1814" w:type="dxa"/>
          </w:tcPr>
          <w:p w14:paraId="57235022" w14:textId="77777777" w:rsidR="00E17A77" w:rsidRDefault="0033624F">
            <w:r>
              <w:t>Actionable recommendations with traceability and decision support.</w:t>
            </w:r>
          </w:p>
        </w:tc>
        <w:tc>
          <w:tcPr>
            <w:tcW w:w="1814" w:type="dxa"/>
          </w:tcPr>
          <w:p w14:paraId="00C5FB14" w14:textId="77777777" w:rsidR="00E17A77" w:rsidRDefault="0033624F">
            <w:r>
              <w:t>EIE – As agreed</w:t>
            </w:r>
          </w:p>
        </w:tc>
      </w:tr>
    </w:tbl>
    <w:p w14:paraId="4C5826BC" w14:textId="77777777" w:rsidR="001C6F3E" w:rsidRDefault="00771E1C">
      <w:pPr>
        <w:pStyle w:val="Heading1"/>
      </w:pPr>
      <w:r>
        <w:t>8. References</w:t>
      </w:r>
    </w:p>
    <w:p w14:paraId="6CD2D6C2" w14:textId="77777777" w:rsidR="001C6F3E" w:rsidRDefault="00771E1C">
      <w:pPr>
        <w:spacing w:after="160"/>
      </w:pPr>
      <w:r>
        <w:t>References and typical source documents include:</w:t>
      </w:r>
    </w:p>
    <w:p w14:paraId="6F85AFDC" w14:textId="77777777" w:rsidR="00E17A77" w:rsidRDefault="0033624F">
      <w:pPr>
        <w:pStyle w:val="ListNumber"/>
      </w:pPr>
      <w:r>
        <w:t>AS IEC 61882:2017 – Hazard and operability studies (HAZOP studies) — Application guide (adopts IEC 61882:2016).</w:t>
      </w:r>
    </w:p>
    <w:p w14:paraId="76B86D99" w14:textId="77777777" w:rsidR="00E17A77" w:rsidRDefault="0033624F">
      <w:pPr>
        <w:pStyle w:val="ListNumber"/>
      </w:pPr>
      <w:r>
        <w:t>IEC 61511 – Functional safety – Safety instrumented systems for the process industry sector (edition as applicable).</w:t>
      </w:r>
    </w:p>
    <w:p w14:paraId="1C518F54" w14:textId="77777777" w:rsidR="00E17A77" w:rsidRDefault="0033624F">
      <w:pPr>
        <w:pStyle w:val="ListNumber"/>
      </w:pPr>
      <w:r>
        <w:t>ISO 31000:2018 – Risk management — Guidelines.</w:t>
      </w:r>
    </w:p>
    <w:p w14:paraId="7FF45005" w14:textId="77777777" w:rsidR="00E17A77" w:rsidRDefault="0033624F">
      <w:pPr>
        <w:pStyle w:val="ListNumber"/>
      </w:pPr>
      <w:r>
        <w:t>NOPSEMA – Safety cases and validation (OPGGS(S) Regulations and associated guidance notes), where applicable to offshore facilities.</w:t>
      </w:r>
    </w:p>
    <w:p w14:paraId="5AAECD18" w14:textId="77777777" w:rsidR="00E17A77" w:rsidRDefault="0033624F">
      <w:pPr>
        <w:pStyle w:val="ListNumber"/>
      </w:pPr>
      <w:r>
        <w:t>WorkSafe WA – Work Health and Safety Act 2020 and Work Health and Safety (Mines) Regulations 2022 guidance for contractor interfaces (where applicable).</w:t>
      </w:r>
    </w:p>
    <w:p w14:paraId="7EFF0687" w14:textId="77777777" w:rsidR="001C6F3E" w:rsidRDefault="001C6F3E"/>
    <w:p w14:paraId="18AA7011" w14:textId="77777777" w:rsidR="001C6F3E" w:rsidRDefault="001C6F3E"/>
    <w:p w14:paraId="5D99FBF0" w14:textId="77777777" w:rsidR="001C6F3E" w:rsidRDefault="00771E1C">
      <w:pPr>
        <w:pStyle w:val="Heading1"/>
      </w:pPr>
      <w:r>
        <w:t>Appendix A: Key Personnel (Dr Martin Bardsley)</w:t>
      </w:r>
    </w:p>
    <w:p w14:paraId="77631621" w14:textId="77777777" w:rsidR="001C6F3E" w:rsidRDefault="00771E1C">
      <w:pPr>
        <w:spacing w:after="160"/>
      </w:pPr>
      <w:r>
        <w:t>Summary of key personnel (full CV available on request):</w:t>
      </w:r>
    </w:p>
    <w:p w14:paraId="2F54D811" w14:textId="77777777" w:rsidR="00E17A77" w:rsidRDefault="0033624F">
      <w:pPr>
        <w:pStyle w:val="ListBullet"/>
      </w:pPr>
      <w:r>
        <w:t>Dr Martin Bardsley – Technical Director (Process, Safety &amp; Risk)</w:t>
      </w:r>
    </w:p>
    <w:p w14:paraId="64F1C330" w14:textId="77777777" w:rsidR="00E17A77" w:rsidRDefault="0033624F">
      <w:pPr>
        <w:pStyle w:val="ListBullet"/>
      </w:pPr>
      <w:r>
        <w:t>Qualifications: BEng(Hons) Chemical Engineering (Loughborough); PhD Chemical Engineering (Cambridge); MIEAust.</w:t>
      </w:r>
    </w:p>
    <w:p w14:paraId="29D9FF6D" w14:textId="77777777" w:rsidR="00E17A77" w:rsidRDefault="0033624F">
      <w:pPr>
        <w:pStyle w:val="ListBullet"/>
      </w:pPr>
      <w:r>
        <w:t>Approved facilitator: qualified with major companies as an approved facilitator for HAZOP and SIL / LOPA workshops.</w:t>
      </w:r>
    </w:p>
    <w:p w14:paraId="2B28BD29" w14:textId="77777777" w:rsidR="00E17A77" w:rsidRDefault="0033624F">
      <w:pPr>
        <w:pStyle w:val="ListBullet"/>
      </w:pPr>
      <w:r>
        <w:t>Career snapshot: Lead Engineer (Process Safety) at Vanguard Solutions (Perth); prior roles at Advantica and KBR/Halliburton in the UK; early industry placement at Dow Chemical (Netherlands).</w:t>
      </w:r>
    </w:p>
    <w:p w14:paraId="54ED8916" w14:textId="77777777" w:rsidR="00E17A77" w:rsidRDefault="0033624F">
      <w:pPr>
        <w:pStyle w:val="ListBullet"/>
      </w:pPr>
      <w:r>
        <w:t>Experience: risk assessment, fire and explosion modelling, reliability/availability modelling, FSA studies, SIL determination/verification, safety case support; HAZOP/SIL/LOPA facilitation.</w:t>
      </w:r>
    </w:p>
    <w:p w14:paraId="37B0FDDD" w14:textId="77777777" w:rsidR="00E17A77" w:rsidRDefault="0033624F">
      <w:pPr>
        <w:pStyle w:val="ListBullet"/>
      </w:pPr>
      <w:r>
        <w:t>Notable methodologies: combined HAZOP and SIL assessment workshop methodology; innovative risk assessment models and fire/explosion modelling approaches.</w:t>
      </w:r>
    </w:p>
    <w:p w14:paraId="1C07DE34" w14:textId="77777777" w:rsidR="001C6F3E" w:rsidRDefault="00771E1C">
      <w:pPr>
        <w:pStyle w:val="Heading1"/>
      </w:pPr>
      <w:r>
        <w:lastRenderedPageBreak/>
        <w:t>Appendix B: Experience Snapshot (Selected Projects)</w:t>
      </w:r>
    </w:p>
    <w:p w14:paraId="74E43F56" w14:textId="77777777" w:rsidR="001C6F3E" w:rsidRDefault="00771E1C">
      <w:pPr>
        <w:spacing w:after="160"/>
      </w:pPr>
      <w:r>
        <w:t>Selected experience highlights (examples):</w:t>
      </w:r>
    </w:p>
    <w:p w14:paraId="735ECD43" w14:textId="77777777" w:rsidR="00E17A77" w:rsidRDefault="0033624F">
      <w:pPr>
        <w:pStyle w:val="ListBullet"/>
      </w:pPr>
      <w:r>
        <w:t>HAZOP / SOA facilitation for major pipeline and facility scopes (e.g., Wheatstone DOMGAS pipeline).</w:t>
      </w:r>
    </w:p>
    <w:p w14:paraId="16F56978" w14:textId="77777777" w:rsidR="00E17A77" w:rsidRDefault="0033624F">
      <w:pPr>
        <w:pStyle w:val="ListBullet"/>
      </w:pPr>
      <w:r>
        <w:t>Long-duration HAZOP and SIL workshop programs for topsides and onshore facilities (multi-week programs).</w:t>
      </w:r>
    </w:p>
    <w:p w14:paraId="5FDBEA3F" w14:textId="77777777" w:rsidR="00E17A77" w:rsidRDefault="0033624F">
      <w:pPr>
        <w:pStyle w:val="ListBullet"/>
      </w:pPr>
      <w:r>
        <w:t>Safety case and FSA study support for FPSOs, WHPs and onshore facilities.</w:t>
      </w:r>
    </w:p>
    <w:p w14:paraId="12B661EF" w14:textId="77777777" w:rsidR="00E17A77" w:rsidRDefault="0033624F">
      <w:pPr>
        <w:pStyle w:val="ListBullet"/>
      </w:pPr>
      <w:r>
        <w:t>Onshore and offshore QRA and fire/explosion modelling support using industry tools.</w:t>
      </w:r>
    </w:p>
    <w:p w14:paraId="79D7C8A4" w14:textId="77777777" w:rsidR="00E17A77" w:rsidRDefault="0033624F">
      <w:pPr>
        <w:pStyle w:val="ListBullet"/>
      </w:pPr>
      <w:r>
        <w:t>Reliability and availability modelling for offshore facilities and operational decision support.</w:t>
      </w:r>
    </w:p>
    <w:p w14:paraId="66392BF8" w14:textId="77777777" w:rsidR="001C6F3E" w:rsidRDefault="00771E1C">
      <w:pPr>
        <w:pStyle w:val="Heading1"/>
      </w:pPr>
      <w:r>
        <w:t>Appendix C: Tools, Methodologies and Training Portfolio</w:t>
      </w:r>
    </w:p>
    <w:p w14:paraId="3A58B49E" w14:textId="77777777" w:rsidR="001C6F3E" w:rsidRDefault="00771E1C">
      <w:pPr>
        <w:spacing w:after="160"/>
      </w:pPr>
      <w:r>
        <w:t>Typical tools, methods and training topics:</w:t>
      </w:r>
    </w:p>
    <w:p w14:paraId="7815DDF9" w14:textId="77777777" w:rsidR="00E17A77" w:rsidRDefault="0033624F">
      <w:pPr>
        <w:pStyle w:val="ListBullet"/>
      </w:pPr>
      <w:r>
        <w:t>Workshops: HAZID/PHA/HAZOP, LOPA, SIL determination/verification, barrier/bowtie sessions, ALARP workshops, action closeout reviews.</w:t>
      </w:r>
    </w:p>
    <w:p w14:paraId="79F18BB8" w14:textId="77777777" w:rsidR="00E17A77" w:rsidRDefault="0033624F">
      <w:pPr>
        <w:pStyle w:val="ListBullet"/>
      </w:pPr>
      <w:r>
        <w:t>Modelling tools (project dependent): DNV PHAST/PHAST Risk, FDS (CFD), and other client-nominated packages; spreadsheets and fit-for-purpose models.</w:t>
      </w:r>
    </w:p>
    <w:p w14:paraId="428A1232" w14:textId="77777777" w:rsidR="00E17A77" w:rsidRDefault="0033624F">
      <w:pPr>
        <w:pStyle w:val="ListBullet"/>
      </w:pPr>
      <w:r>
        <w:t>Reporting: governance-ready reports with assumptions/limitations, decision logs, action registers, and traceability to standards and client criteria.</w:t>
      </w:r>
    </w:p>
    <w:p w14:paraId="45E8E7D9" w14:textId="77777777" w:rsidR="00E17A77" w:rsidRDefault="0033624F">
      <w:pPr>
        <w:pStyle w:val="ListBullet"/>
      </w:pPr>
      <w:r>
        <w:t>Training: process safety foundations, workshop effectiveness, functional safety awareness (IEC 61511 concepts), incident learning, and tailored engineering topics.</w:t>
      </w:r>
    </w:p>
    <w:p w14:paraId="131347F3" w14:textId="77777777" w:rsidR="001C6F3E" w:rsidRDefault="00771E1C">
      <w:pPr>
        <w:pStyle w:val="Heading1"/>
      </w:pPr>
      <w:r>
        <w:t>Appendix D: Publishing and Thought Leadership</w:t>
      </w:r>
    </w:p>
    <w:p w14:paraId="65BC0021" w14:textId="77777777" w:rsidR="001C6F3E" w:rsidRDefault="00771E1C">
      <w:pPr>
        <w:spacing w:after="160"/>
      </w:pPr>
      <w:r>
        <w:t>EIE maintains a publishing division for books and music publishing.</w:t>
      </w:r>
    </w:p>
    <w:p w14:paraId="785DDD6F" w14:textId="77777777" w:rsidR="00E17A77" w:rsidRDefault="0033624F">
      <w:pPr>
        <w:pStyle w:val="ListBullet"/>
      </w:pPr>
      <w:r>
        <w:t>Publishing record: over 120 online titles, including technology, engineering and related professional development topics.</w:t>
      </w:r>
    </w:p>
    <w:p w14:paraId="4404D74C" w14:textId="77777777" w:rsidR="00E17A77" w:rsidRDefault="0033624F">
      <w:r>
        <w:t>Publishing is not the focus of EIE’s engineering capability statement and can be provided separately on request.</w:t>
      </w:r>
    </w:p>
    <w:sectPr w:rsidR="00E17A77" w:rsidSect="00034616">
      <w:headerReference w:type="default" r:id="rId9"/>
      <w:footerReference w:type="default" r:id="rId10"/>
      <w:pgSz w:w="11906" w:h="16838"/>
      <w:pgMar w:top="1417" w:right="1417" w:bottom="1134" w:left="1417" w:header="737"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8BB86" w14:textId="77777777" w:rsidR="00771E1C" w:rsidRDefault="00771E1C">
      <w:pPr>
        <w:spacing w:after="0" w:line="240" w:lineRule="auto"/>
      </w:pPr>
      <w:r>
        <w:separator/>
      </w:r>
    </w:p>
  </w:endnote>
  <w:endnote w:type="continuationSeparator" w:id="0">
    <w:p w14:paraId="3684D314" w14:textId="77777777" w:rsidR="00771E1C" w:rsidRDefault="00771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11FD3" w14:textId="77777777" w:rsidR="001C6F3E" w:rsidRDefault="001C6F3E">
    <w:pPr>
      <w:pStyle w:val="Footer"/>
    </w:pPr>
  </w:p>
  <w:tbl>
    <w:tblPr>
      <w:tblW w:w="0" w:type="auto"/>
      <w:tblLayout w:type="fixed"/>
      <w:tblLook w:val="04A0" w:firstRow="1" w:lastRow="0" w:firstColumn="1" w:lastColumn="0" w:noHBand="0" w:noVBand="1"/>
    </w:tblPr>
    <w:tblGrid>
      <w:gridCol w:w="3024"/>
      <w:gridCol w:w="3024"/>
      <w:gridCol w:w="3024"/>
    </w:tblGrid>
    <w:tr w:rsidR="001C6F3E" w14:paraId="336CEF21" w14:textId="77777777">
      <w:tc>
        <w:tcPr>
          <w:tcW w:w="3024" w:type="dxa"/>
        </w:tcPr>
        <w:p w14:paraId="3EEED0EC" w14:textId="77777777" w:rsidR="001C6F3E" w:rsidRDefault="00771E1C">
          <w:pPr>
            <w:spacing w:after="0"/>
          </w:pPr>
          <w:r>
            <w:rPr>
              <w:sz w:val="18"/>
            </w:rPr>
            <w:t>Enhance Integration Engineering Pty Ltd</w:t>
          </w:r>
        </w:p>
      </w:tc>
      <w:tc>
        <w:tcPr>
          <w:tcW w:w="3024" w:type="dxa"/>
        </w:tcPr>
        <w:p w14:paraId="6AD1BD75" w14:textId="77777777" w:rsidR="001C6F3E" w:rsidRDefault="00771E1C">
          <w:pPr>
            <w:spacing w:after="0"/>
            <w:jc w:val="center"/>
          </w:pPr>
          <w:r>
            <w:rPr>
              <w:sz w:val="18"/>
            </w:rPr>
            <w:t xml:space="preserve">Page </w:t>
          </w:r>
          <w:r>
            <w:fldChar w:fldCharType="begin"/>
          </w:r>
          <w:r>
            <w:instrText>PAGE</w:instrText>
          </w:r>
          <w:r>
            <w:fldChar w:fldCharType="separate"/>
          </w:r>
          <w:r>
            <w:rPr>
              <w:noProof/>
            </w:rPr>
            <w:t>2</w:t>
          </w:r>
          <w:r>
            <w:fldChar w:fldCharType="end"/>
          </w:r>
          <w:r>
            <w:rPr>
              <w:sz w:val="18"/>
            </w:rPr>
            <w:t xml:space="preserve"> of </w:t>
          </w:r>
          <w:r>
            <w:fldChar w:fldCharType="begin"/>
          </w:r>
          <w:r>
            <w:instrText>NUMPAGES</w:instrText>
          </w:r>
          <w:r>
            <w:fldChar w:fldCharType="separate"/>
          </w:r>
          <w:r>
            <w:rPr>
              <w:noProof/>
            </w:rPr>
            <w:t>3</w:t>
          </w:r>
          <w:r>
            <w:fldChar w:fldCharType="end"/>
          </w:r>
        </w:p>
      </w:tc>
      <w:tc>
        <w:tcPr>
          <w:tcW w:w="3024" w:type="dxa"/>
        </w:tcPr>
        <w:p w14:paraId="0B5E1589" w14:textId="77777777" w:rsidR="001C6F3E" w:rsidRDefault="00771E1C">
          <w:pPr>
            <w:spacing w:after="0"/>
            <w:jc w:val="right"/>
          </w:pPr>
          <w:r>
            <w:rPr>
              <w:i/>
              <w:sz w:val="18"/>
            </w:rPr>
            <w:t>[Classification: Confidential]</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C5642" w14:textId="77777777" w:rsidR="00771E1C" w:rsidRDefault="00771E1C">
      <w:pPr>
        <w:spacing w:after="0" w:line="240" w:lineRule="auto"/>
      </w:pPr>
      <w:r>
        <w:separator/>
      </w:r>
    </w:p>
  </w:footnote>
  <w:footnote w:type="continuationSeparator" w:id="0">
    <w:p w14:paraId="05251391" w14:textId="77777777" w:rsidR="00771E1C" w:rsidRDefault="00771E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60763" w14:textId="77777777" w:rsidR="001C6F3E" w:rsidRDefault="001C6F3E">
    <w:pPr>
      <w:pStyle w:val="Header"/>
    </w:pPr>
  </w:p>
  <w:tbl>
    <w:tblPr>
      <w:tblW w:w="0" w:type="auto"/>
      <w:tblLayout w:type="fixed"/>
      <w:tblLook w:val="04A0" w:firstRow="1" w:lastRow="0" w:firstColumn="1" w:lastColumn="0" w:noHBand="0" w:noVBand="1"/>
    </w:tblPr>
    <w:tblGrid>
      <w:gridCol w:w="4535"/>
      <w:gridCol w:w="4535"/>
    </w:tblGrid>
    <w:tr w:rsidR="001C6F3E" w14:paraId="5BD92E2F" w14:textId="77777777">
      <w:tc>
        <w:tcPr>
          <w:tcW w:w="4535" w:type="dxa"/>
        </w:tcPr>
        <w:p w14:paraId="78060C7F" w14:textId="77777777" w:rsidR="00E17A77" w:rsidRDefault="0033624F">
          <w:r>
            <w:t>EIE</w:t>
          </w:r>
        </w:p>
      </w:tc>
      <w:tc>
        <w:tcPr>
          <w:tcW w:w="4535" w:type="dxa"/>
        </w:tcPr>
        <w:p w14:paraId="1B1A526F" w14:textId="77777777" w:rsidR="00E17A77" w:rsidRDefault="0033624F">
          <w:r>
            <w:t>Capability Statement</w:t>
          </w:r>
        </w:p>
      </w:tc>
    </w:tr>
    <w:tr w:rsidR="001C6F3E" w14:paraId="0D76298A" w14:textId="77777777">
      <w:tc>
        <w:tcPr>
          <w:tcW w:w="4535" w:type="dxa"/>
        </w:tcPr>
        <w:p w14:paraId="35CDB451" w14:textId="77777777" w:rsidR="00E17A77" w:rsidRDefault="0033624F">
          <w:r>
            <w:t>Enhance Integration Engineering Pty Ltd</w:t>
          </w:r>
        </w:p>
      </w:tc>
      <w:tc>
        <w:tcPr>
          <w:tcW w:w="4535" w:type="dxa"/>
        </w:tcPr>
        <w:p w14:paraId="2F8B48D7" w14:textId="77777777" w:rsidR="00E17A77" w:rsidRDefault="0033624F">
          <w:r>
            <w:t>Doc: D-26-003-01-</w:t>
          </w:r>
          <w:proofErr w:type="gramStart"/>
          <w:r>
            <w:t>Rep  Rev</w:t>
          </w:r>
          <w:proofErr w:type="gramEnd"/>
          <w:r>
            <w:t xml:space="preserve">: </w:t>
          </w:r>
          <w:proofErr w:type="gramStart"/>
          <w:r>
            <w:t>A  Status</w:t>
          </w:r>
          <w:proofErr w:type="gramEnd"/>
          <w:r>
            <w:t>: IFR</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30472961">
    <w:abstractNumId w:val="8"/>
  </w:num>
  <w:num w:numId="2" w16cid:durableId="912197399">
    <w:abstractNumId w:val="6"/>
  </w:num>
  <w:num w:numId="3" w16cid:durableId="1253079817">
    <w:abstractNumId w:val="5"/>
  </w:num>
  <w:num w:numId="4" w16cid:durableId="1919747350">
    <w:abstractNumId w:val="4"/>
  </w:num>
  <w:num w:numId="5" w16cid:durableId="1466508713">
    <w:abstractNumId w:val="7"/>
  </w:num>
  <w:num w:numId="6" w16cid:durableId="1234240894">
    <w:abstractNumId w:val="3"/>
  </w:num>
  <w:num w:numId="7" w16cid:durableId="1891108757">
    <w:abstractNumId w:val="2"/>
  </w:num>
  <w:num w:numId="8" w16cid:durableId="409233773">
    <w:abstractNumId w:val="1"/>
  </w:num>
  <w:num w:numId="9" w16cid:durableId="1318000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021D"/>
    <w:rsid w:val="00034616"/>
    <w:rsid w:val="0006063C"/>
    <w:rsid w:val="000B108D"/>
    <w:rsid w:val="0015074B"/>
    <w:rsid w:val="001A578A"/>
    <w:rsid w:val="001C6F3E"/>
    <w:rsid w:val="0029639D"/>
    <w:rsid w:val="00326F90"/>
    <w:rsid w:val="0033624F"/>
    <w:rsid w:val="00771E1C"/>
    <w:rsid w:val="007C06D4"/>
    <w:rsid w:val="00883A95"/>
    <w:rsid w:val="00926A20"/>
    <w:rsid w:val="00AA1D8D"/>
    <w:rsid w:val="00B47730"/>
    <w:rsid w:val="00C64947"/>
    <w:rsid w:val="00CB0664"/>
    <w:rsid w:val="00D121B1"/>
    <w:rsid w:val="00DB3235"/>
    <w:rsid w:val="00E17A77"/>
    <w:rsid w:val="00E43AED"/>
    <w:rsid w:val="00F11255"/>
    <w:rsid w:val="00F24B8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8857FC"/>
  <w14:defaultImageDpi w14:val="300"/>
  <w15:docId w15:val="{F2BF41C3-F153-428D-A05A-971A45408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Calibri" w:hAnsi="Calibri"/>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160" w:after="4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IETitle">
    <w:name w:val="EIE Title"/>
    <w:basedOn w:val="Title"/>
    <w:pPr>
      <w:spacing w:after="240"/>
    </w:pPr>
    <w:rPr>
      <w:rFonts w:ascii="Calibri" w:hAnsi="Calibri"/>
      <w:b/>
      <w:sz w:val="56"/>
    </w:rPr>
  </w:style>
  <w:style w:type="paragraph" w:customStyle="1" w:styleId="EIESubtitle">
    <w:name w:val="EIE Subtitle"/>
    <w:basedOn w:val="Subtitle"/>
    <w:pPr>
      <w:spacing w:after="360"/>
    </w:pPr>
    <w:rPr>
      <w:rFonts w:ascii="Calibri" w:hAnsi="Calibri"/>
      <w:sz w:val="28"/>
    </w:rPr>
  </w:style>
  <w:style w:type="paragraph" w:styleId="TOC1">
    <w:name w:val="toc 1"/>
    <w:basedOn w:val="Normal"/>
    <w:next w:val="Normal"/>
    <w:autoRedefine/>
    <w:uiPriority w:val="39"/>
    <w:unhideWhenUsed/>
    <w:rsid w:val="00C64947"/>
    <w:pPr>
      <w:spacing w:after="100"/>
    </w:pPr>
  </w:style>
  <w:style w:type="paragraph" w:styleId="TOC2">
    <w:name w:val="toc 2"/>
    <w:basedOn w:val="Normal"/>
    <w:next w:val="Normal"/>
    <w:autoRedefine/>
    <w:uiPriority w:val="39"/>
    <w:unhideWhenUsed/>
    <w:rsid w:val="00C64947"/>
    <w:pPr>
      <w:spacing w:after="100"/>
      <w:ind w:left="220"/>
    </w:pPr>
  </w:style>
  <w:style w:type="character" w:styleId="Hyperlink">
    <w:name w:val="Hyperlink"/>
    <w:basedOn w:val="DefaultParagraphFont"/>
    <w:uiPriority w:val="99"/>
    <w:unhideWhenUsed/>
    <w:rsid w:val="00C649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3480</Words>
  <Characters>21576</Characters>
  <Application>Microsoft Office Word</Application>
  <DocSecurity>0</DocSecurity>
  <Lines>1269</Lines>
  <Paragraphs>1193</Paragraphs>
  <ScaleCrop>false</ScaleCrop>
  <HeadingPairs>
    <vt:vector size="2" baseType="variant">
      <vt:variant>
        <vt:lpstr>Title</vt:lpstr>
      </vt:variant>
      <vt:variant>
        <vt:i4>1</vt:i4>
      </vt:variant>
    </vt:vector>
  </HeadingPairs>
  <TitlesOfParts>
    <vt:vector size="1" baseType="lpstr">
      <vt:lpstr>Capablity Statment</vt:lpstr>
    </vt:vector>
  </TitlesOfParts>
  <Manager/>
  <Company/>
  <LinksUpToDate>false</LinksUpToDate>
  <CharactersWithSpaces>23863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Capablity Statment</dc:title>
  <dc:subject/>
  <dc:creator>Martin Bardsley</dc:creator>
  <cp:keywords/>
  <dc:description>M</dc:description>
  <cp:lastModifiedBy>Martin Bardsley</cp:lastModifiedBy>
  <cp:revision>2</cp:revision>
  <dcterms:created xsi:type="dcterms:W3CDTF">2026-02-25T02:23:00Z</dcterms:created>
  <dcterms:modified xsi:type="dcterms:W3CDTF">2026-02-25T02:23:00Z</dcterms:modified>
  <cp:category/>
</cp:coreProperties>
</file>